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494" w:rsidRPr="00C3795C" w:rsidRDefault="00876494" w:rsidP="00876494">
      <w:pPr>
        <w:pStyle w:val="AHPRADocumenttitle"/>
      </w:pPr>
      <w:r>
        <w:rPr>
          <w:noProof/>
          <w:lang w:val="en-US"/>
        </w:rPr>
        <w:t>Communiqué</w:t>
      </w:r>
    </w:p>
    <w:p w:rsidR="00876494" w:rsidRDefault="005431FC" w:rsidP="00876494">
      <w:pPr>
        <w:pStyle w:val="AHPRADocumentsubheading"/>
        <w:rPr>
          <w:color w:val="auto"/>
          <w:sz w:val="24"/>
          <w:szCs w:val="24"/>
        </w:rPr>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11.55pt;width:158.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hS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"/>
        </w:pict>
      </w:r>
    </w:p>
    <w:p w:rsidR="00876494" w:rsidRDefault="00083C18" w:rsidP="00876494">
      <w:pPr>
        <w:pStyle w:val="AHPRADocumentsubheading"/>
      </w:pPr>
      <w:r>
        <w:t xml:space="preserve">May </w:t>
      </w:r>
      <w:r w:rsidR="00876494">
        <w:t xml:space="preserve">2017 meeting of the Dental </w:t>
      </w:r>
      <w:r w:rsidR="00876494" w:rsidRPr="00984E15">
        <w:t>Board of Australia</w:t>
      </w:r>
    </w:p>
    <w:p w:rsidR="00876494" w:rsidRPr="00397865" w:rsidRDefault="00083C18" w:rsidP="00876494">
      <w:pPr>
        <w:pStyle w:val="AHPRAbody"/>
        <w:rPr>
          <w:szCs w:val="20"/>
        </w:rPr>
      </w:pPr>
      <w:r>
        <w:t>The 85</w:t>
      </w:r>
      <w:r w:rsidRPr="00083C18">
        <w:rPr>
          <w:vertAlign w:val="superscript"/>
        </w:rPr>
        <w:t>th</w:t>
      </w:r>
      <w:r>
        <w:t xml:space="preserve"> </w:t>
      </w:r>
      <w:r w:rsidR="00876494" w:rsidRPr="00842420">
        <w:t xml:space="preserve">meeting of the Dental Board of Australia (the Board) was held on Friday </w:t>
      </w:r>
      <w:r>
        <w:t xml:space="preserve">26 May </w:t>
      </w:r>
      <w:r w:rsidR="00876494">
        <w:t>2017</w:t>
      </w:r>
      <w:r w:rsidR="00876494" w:rsidRPr="00842420">
        <w:t xml:space="preserve"> </w:t>
      </w:r>
      <w:r w:rsidR="00876494">
        <w:t>at</w:t>
      </w:r>
      <w:r w:rsidR="00876494" w:rsidRPr="00842420">
        <w:t xml:space="preserve"> the</w:t>
      </w:r>
      <w:r w:rsidR="00876494">
        <w:t xml:space="preserve"> </w:t>
      </w:r>
      <w:r w:rsidR="00876494">
        <w:rPr>
          <w:szCs w:val="20"/>
        </w:rPr>
        <w:t xml:space="preserve">National </w:t>
      </w:r>
      <w:r w:rsidR="00876494" w:rsidRPr="00BE0F7E">
        <w:rPr>
          <w:szCs w:val="20"/>
        </w:rPr>
        <w:t>Office of the Australian Health Practitioner Regulation Agency (AHPRA)</w:t>
      </w:r>
      <w:r w:rsidR="00876494">
        <w:rPr>
          <w:szCs w:val="20"/>
        </w:rPr>
        <w:t xml:space="preserve"> </w:t>
      </w:r>
      <w:r w:rsidR="00876494" w:rsidRPr="00BE0F7E">
        <w:rPr>
          <w:szCs w:val="20"/>
        </w:rPr>
        <w:t>in</w:t>
      </w:r>
      <w:r w:rsidR="00876494">
        <w:rPr>
          <w:szCs w:val="20"/>
        </w:rPr>
        <w:t xml:space="preserve"> Melbourne</w:t>
      </w:r>
      <w:r w:rsidR="00876494" w:rsidRPr="00BE0F7E">
        <w:rPr>
          <w:szCs w:val="20"/>
        </w:rPr>
        <w:t>.</w:t>
      </w:r>
    </w:p>
    <w:p w:rsidR="00876494" w:rsidRPr="00C9598C" w:rsidRDefault="00876494" w:rsidP="00876494">
      <w:pPr>
        <w:pStyle w:val="AHPRAbody"/>
      </w:pPr>
      <w:r w:rsidRPr="00C9598C">
        <w:t>This communiqué highlights key discussions</w:t>
      </w:r>
      <w:bookmarkStart w:id="0" w:name="_GoBack"/>
      <w:bookmarkEnd w:id="0"/>
      <w:r w:rsidRPr="00C9598C">
        <w:t xml:space="preserve"> and considerations from the Board’s meeting as well as other important information.</w:t>
      </w:r>
    </w:p>
    <w:p w:rsidR="00876494" w:rsidRDefault="00876494" w:rsidP="00876494">
      <w:pPr>
        <w:pStyle w:val="AHPRAbody"/>
      </w:pPr>
      <w:r w:rsidRPr="00C9598C">
        <w:t>We publish this communiqué on our website and email it to a broad range of stakeholders. We encourage you to distribute it to colleagues and interested parties</w:t>
      </w:r>
      <w:r>
        <w:t>, including</w:t>
      </w:r>
      <w:r w:rsidRPr="00C9598C">
        <w:t xml:space="preserve"> </w:t>
      </w:r>
      <w:r>
        <w:t xml:space="preserve">in </w:t>
      </w:r>
      <w:r w:rsidRPr="00C9598C">
        <w:t>the organisation you work in.</w:t>
      </w:r>
    </w:p>
    <w:p w:rsidR="008D0887" w:rsidRPr="008D0887" w:rsidRDefault="008D0887" w:rsidP="008D0887">
      <w:pPr>
        <w:pStyle w:val="AHPRASubhead"/>
      </w:pPr>
      <w:r w:rsidRPr="008D0887">
        <w:t>Regulatory action ‒ tribunal cases</w:t>
      </w:r>
    </w:p>
    <w:p w:rsidR="008D0887" w:rsidRPr="00324B81" w:rsidRDefault="008D0887" w:rsidP="008D0887">
      <w:pPr>
        <w:rPr>
          <w:sz w:val="20"/>
          <w:szCs w:val="20"/>
        </w:rPr>
      </w:pPr>
      <w:r w:rsidRPr="00324B81">
        <w:rPr>
          <w:sz w:val="20"/>
          <w:szCs w:val="20"/>
        </w:rPr>
        <w:t xml:space="preserve">A number of recent regulatory actions have achieved greater protection of the public. </w:t>
      </w:r>
    </w:p>
    <w:p w:rsidR="008D0887" w:rsidRPr="00324B81" w:rsidRDefault="008D0887" w:rsidP="008D0887">
      <w:pPr>
        <w:rPr>
          <w:sz w:val="20"/>
          <w:szCs w:val="20"/>
        </w:rPr>
      </w:pPr>
      <w:r w:rsidRPr="00324B81">
        <w:rPr>
          <w:sz w:val="20"/>
          <w:szCs w:val="20"/>
        </w:rPr>
        <w:t>Significant outcomes include: </w:t>
      </w:r>
    </w:p>
    <w:p w:rsidR="007727D9" w:rsidRDefault="005431FC">
      <w:pPr>
        <w:pStyle w:val="ListParagraph"/>
        <w:numPr>
          <w:ilvl w:val="0"/>
          <w:numId w:val="34"/>
        </w:numPr>
        <w:rPr>
          <w:sz w:val="20"/>
          <w:szCs w:val="20"/>
        </w:rPr>
      </w:pPr>
      <w:hyperlink r:id="rId7" w:history="1">
        <w:r w:rsidR="008D0887" w:rsidRPr="0012718B">
          <w:rPr>
            <w:rStyle w:val="Hyperlink"/>
            <w:sz w:val="20"/>
            <w:szCs w:val="20"/>
          </w:rPr>
          <w:t xml:space="preserve">Kirby v Dental Council of New South Wales </w:t>
        </w:r>
      </w:hyperlink>
    </w:p>
    <w:p w:rsidR="007727D9" w:rsidRDefault="005431FC">
      <w:pPr>
        <w:pStyle w:val="ListParagraph"/>
        <w:numPr>
          <w:ilvl w:val="0"/>
          <w:numId w:val="34"/>
        </w:numPr>
        <w:rPr>
          <w:sz w:val="20"/>
          <w:szCs w:val="20"/>
        </w:rPr>
      </w:pPr>
      <w:hyperlink r:id="rId8" w:history="1">
        <w:r w:rsidR="008D0887" w:rsidRPr="0012718B">
          <w:rPr>
            <w:rStyle w:val="Hyperlink"/>
            <w:sz w:val="20"/>
            <w:szCs w:val="20"/>
          </w:rPr>
          <w:t>Health Care Complaints Commission v Chan</w:t>
        </w:r>
      </w:hyperlink>
      <w:r w:rsidR="008D0887" w:rsidRPr="0012718B">
        <w:rPr>
          <w:sz w:val="20"/>
          <w:szCs w:val="20"/>
        </w:rPr>
        <w:t xml:space="preserve"> </w:t>
      </w:r>
    </w:p>
    <w:p w:rsidR="008D0887" w:rsidRPr="00927E4B" w:rsidRDefault="008D0887" w:rsidP="008D0887">
      <w:pPr>
        <w:rPr>
          <w:sz w:val="20"/>
          <w:szCs w:val="20"/>
        </w:rPr>
      </w:pPr>
      <w:r w:rsidRPr="00324B81">
        <w:rPr>
          <w:sz w:val="20"/>
          <w:szCs w:val="20"/>
        </w:rPr>
        <w:t xml:space="preserve">You can find out more about the outcomes of court and tribunal action on the Board’s website ‒ see the </w:t>
      </w:r>
      <w:hyperlink r:id="rId9" w:history="1">
        <w:r w:rsidRPr="00324B81">
          <w:rPr>
            <w:rStyle w:val="Hyperlink"/>
            <w:sz w:val="20"/>
            <w:szCs w:val="20"/>
          </w:rPr>
          <w:t>News section</w:t>
        </w:r>
      </w:hyperlink>
      <w:r w:rsidRPr="00324B81">
        <w:rPr>
          <w:sz w:val="20"/>
          <w:szCs w:val="20"/>
        </w:rPr>
        <w:t xml:space="preserve">. You can also visit AHPRA’s website, where there is a page dedicated to court and tribunal </w:t>
      </w:r>
      <w:r w:rsidRPr="00927E4B">
        <w:rPr>
          <w:sz w:val="20"/>
          <w:szCs w:val="20"/>
        </w:rPr>
        <w:t xml:space="preserve">outcomes under </w:t>
      </w:r>
      <w:hyperlink r:id="rId10" w:tgtFrame="_blank" w:history="1">
        <w:r w:rsidRPr="00927E4B">
          <w:rPr>
            <w:rStyle w:val="Hyperlink"/>
            <w:sz w:val="20"/>
            <w:szCs w:val="20"/>
          </w:rPr>
          <w:t>Publications and resources</w:t>
        </w:r>
      </w:hyperlink>
      <w:r w:rsidRPr="00927E4B">
        <w:rPr>
          <w:sz w:val="20"/>
          <w:szCs w:val="20"/>
        </w:rPr>
        <w:t>.</w:t>
      </w:r>
    </w:p>
    <w:p w:rsidR="00C92A44" w:rsidRPr="00927E4B" w:rsidRDefault="00C92A44" w:rsidP="00C92A44">
      <w:pPr>
        <w:pStyle w:val="AHPRASubhead"/>
      </w:pPr>
      <w:r w:rsidRPr="00927E4B">
        <w:t xml:space="preserve">Update on appointments to </w:t>
      </w:r>
      <w:r w:rsidR="005148A7" w:rsidRPr="00927E4B">
        <w:t>s</w:t>
      </w:r>
      <w:r w:rsidRPr="00927E4B">
        <w:t xml:space="preserve">tate and </w:t>
      </w:r>
      <w:r w:rsidR="005148A7" w:rsidRPr="00927E4B">
        <w:t>t</w:t>
      </w:r>
      <w:r w:rsidRPr="00927E4B">
        <w:t xml:space="preserve">erritory </w:t>
      </w:r>
      <w:r w:rsidR="005148A7" w:rsidRPr="00927E4B">
        <w:t>c</w:t>
      </w:r>
      <w:r w:rsidRPr="00927E4B">
        <w:t>ommittees of the Dental Board of Australia</w:t>
      </w:r>
    </w:p>
    <w:p w:rsidR="00C92A44" w:rsidRPr="00927E4B" w:rsidRDefault="00C92A44" w:rsidP="00C92A44">
      <w:pPr>
        <w:pStyle w:val="Default"/>
        <w:rPr>
          <w:color w:val="auto"/>
          <w:sz w:val="20"/>
          <w:szCs w:val="20"/>
          <w:lang w:val="en-AU"/>
        </w:rPr>
      </w:pPr>
      <w:r w:rsidRPr="00927E4B">
        <w:rPr>
          <w:color w:val="auto"/>
          <w:sz w:val="20"/>
          <w:szCs w:val="20"/>
          <w:lang w:val="en-AU"/>
        </w:rPr>
        <w:t xml:space="preserve">The Board has established </w:t>
      </w:r>
      <w:r w:rsidR="005148A7" w:rsidRPr="00927E4B">
        <w:rPr>
          <w:color w:val="auto"/>
          <w:sz w:val="20"/>
          <w:szCs w:val="20"/>
          <w:lang w:val="en-AU"/>
        </w:rPr>
        <w:t>s</w:t>
      </w:r>
      <w:r w:rsidRPr="00927E4B">
        <w:rPr>
          <w:color w:val="auto"/>
          <w:sz w:val="20"/>
          <w:szCs w:val="20"/>
          <w:lang w:val="en-AU"/>
        </w:rPr>
        <w:t xml:space="preserve">tate and </w:t>
      </w:r>
      <w:r w:rsidR="005148A7" w:rsidRPr="00927E4B">
        <w:rPr>
          <w:color w:val="auto"/>
          <w:sz w:val="20"/>
          <w:szCs w:val="20"/>
          <w:lang w:val="en-AU"/>
        </w:rPr>
        <w:t>t</w:t>
      </w:r>
      <w:r w:rsidRPr="00927E4B">
        <w:rPr>
          <w:color w:val="auto"/>
          <w:sz w:val="20"/>
          <w:szCs w:val="20"/>
          <w:lang w:val="en-AU"/>
        </w:rPr>
        <w:t>erritory committees to make decisions about registration and notification matters and has delegated powers to enable the committees to exercise these functions.</w:t>
      </w:r>
    </w:p>
    <w:p w:rsidR="00C92A44" w:rsidRPr="00927E4B" w:rsidRDefault="00C92A44" w:rsidP="00C92A44">
      <w:pPr>
        <w:pStyle w:val="Default"/>
        <w:rPr>
          <w:color w:val="auto"/>
          <w:sz w:val="20"/>
          <w:szCs w:val="20"/>
          <w:lang w:val="en-AU"/>
        </w:rPr>
      </w:pPr>
    </w:p>
    <w:p w:rsidR="00C92A44" w:rsidRPr="00927E4B" w:rsidRDefault="00C92A44" w:rsidP="00C92A44">
      <w:pPr>
        <w:pStyle w:val="Default"/>
        <w:rPr>
          <w:color w:val="auto"/>
          <w:sz w:val="20"/>
          <w:szCs w:val="20"/>
        </w:rPr>
      </w:pPr>
      <w:r w:rsidRPr="00927E4B">
        <w:rPr>
          <w:color w:val="auto"/>
          <w:sz w:val="20"/>
          <w:szCs w:val="20"/>
          <w:lang w:val="en-AU"/>
        </w:rPr>
        <w:t xml:space="preserve">The Board has recently called for applications from </w:t>
      </w:r>
      <w:r w:rsidRPr="00927E4B">
        <w:rPr>
          <w:color w:val="auto"/>
          <w:sz w:val="20"/>
          <w:szCs w:val="20"/>
        </w:rPr>
        <w:t xml:space="preserve">registered and experienced dental practitioners and community members seeking appointment to the Board’s </w:t>
      </w:r>
      <w:r w:rsidR="005148A7" w:rsidRPr="00927E4B">
        <w:rPr>
          <w:color w:val="auto"/>
          <w:sz w:val="20"/>
          <w:szCs w:val="20"/>
        </w:rPr>
        <w:t>s</w:t>
      </w:r>
      <w:r w:rsidRPr="00927E4B">
        <w:rPr>
          <w:color w:val="auto"/>
          <w:sz w:val="20"/>
          <w:szCs w:val="20"/>
        </w:rPr>
        <w:t xml:space="preserve">tate and </w:t>
      </w:r>
      <w:r w:rsidR="005148A7" w:rsidRPr="00927E4B">
        <w:rPr>
          <w:color w:val="auto"/>
          <w:sz w:val="20"/>
          <w:szCs w:val="20"/>
        </w:rPr>
        <w:t>t</w:t>
      </w:r>
      <w:r w:rsidRPr="00927E4B">
        <w:rPr>
          <w:color w:val="auto"/>
          <w:sz w:val="20"/>
          <w:szCs w:val="20"/>
        </w:rPr>
        <w:t xml:space="preserve">erritory </w:t>
      </w:r>
      <w:r w:rsidR="005148A7" w:rsidRPr="00927E4B">
        <w:rPr>
          <w:color w:val="auto"/>
          <w:sz w:val="20"/>
          <w:szCs w:val="20"/>
        </w:rPr>
        <w:t>r</w:t>
      </w:r>
      <w:r w:rsidRPr="00927E4B">
        <w:rPr>
          <w:color w:val="auto"/>
          <w:sz w:val="20"/>
          <w:szCs w:val="20"/>
        </w:rPr>
        <w:t xml:space="preserve">egistration and </w:t>
      </w:r>
      <w:r w:rsidR="005148A7" w:rsidRPr="00927E4B">
        <w:rPr>
          <w:color w:val="auto"/>
          <w:sz w:val="20"/>
          <w:szCs w:val="20"/>
        </w:rPr>
        <w:t>n</w:t>
      </w:r>
      <w:r w:rsidRPr="00927E4B">
        <w:rPr>
          <w:color w:val="auto"/>
          <w:sz w:val="20"/>
          <w:szCs w:val="20"/>
        </w:rPr>
        <w:t xml:space="preserve">otification </w:t>
      </w:r>
      <w:r w:rsidR="005148A7" w:rsidRPr="00927E4B">
        <w:rPr>
          <w:color w:val="auto"/>
          <w:sz w:val="20"/>
          <w:szCs w:val="20"/>
        </w:rPr>
        <w:t>c</w:t>
      </w:r>
      <w:r w:rsidRPr="00927E4B">
        <w:rPr>
          <w:color w:val="auto"/>
          <w:sz w:val="20"/>
          <w:szCs w:val="20"/>
        </w:rPr>
        <w:t>ommittees</w:t>
      </w:r>
      <w:r w:rsidR="005148A7" w:rsidRPr="00927E4B">
        <w:rPr>
          <w:color w:val="auto"/>
          <w:sz w:val="20"/>
          <w:szCs w:val="20"/>
        </w:rPr>
        <w:t>. T</w:t>
      </w:r>
      <w:r w:rsidRPr="00927E4B">
        <w:rPr>
          <w:color w:val="auto"/>
          <w:sz w:val="20"/>
          <w:szCs w:val="20"/>
        </w:rPr>
        <w:t>he Board is currently reviewing the applications and expects to announce appointments soon.</w:t>
      </w:r>
    </w:p>
    <w:p w:rsidR="00C92A44" w:rsidRPr="00927E4B" w:rsidRDefault="00C92A44" w:rsidP="00C92A44">
      <w:pPr>
        <w:pStyle w:val="Default"/>
        <w:rPr>
          <w:color w:val="auto"/>
          <w:sz w:val="20"/>
          <w:szCs w:val="20"/>
        </w:rPr>
      </w:pPr>
    </w:p>
    <w:p w:rsidR="00C92A44" w:rsidRDefault="00C92A44" w:rsidP="00C92A44">
      <w:pPr>
        <w:pStyle w:val="Default"/>
        <w:rPr>
          <w:color w:val="auto"/>
          <w:sz w:val="20"/>
          <w:szCs w:val="20"/>
          <w:lang w:val="en-AU"/>
        </w:rPr>
      </w:pPr>
      <w:r w:rsidRPr="00927E4B">
        <w:rPr>
          <w:color w:val="auto"/>
          <w:sz w:val="20"/>
          <w:szCs w:val="20"/>
          <w:lang w:val="en-AU"/>
        </w:rPr>
        <w:t>The Board thanks those who expressed interest in the advertised vacancies and appreciates the willingness to contribute to the National Registration and Accreditation Scheme.</w:t>
      </w:r>
      <w:r>
        <w:rPr>
          <w:color w:val="auto"/>
          <w:sz w:val="20"/>
          <w:szCs w:val="20"/>
          <w:lang w:val="en-AU"/>
        </w:rPr>
        <w:t xml:space="preserve"> </w:t>
      </w:r>
    </w:p>
    <w:p w:rsidR="005148A7" w:rsidRDefault="005148A7" w:rsidP="00C92A44">
      <w:pPr>
        <w:pStyle w:val="Default"/>
        <w:rPr>
          <w:color w:val="auto"/>
          <w:sz w:val="20"/>
          <w:szCs w:val="20"/>
          <w:lang w:val="en-AU"/>
        </w:rPr>
      </w:pPr>
    </w:p>
    <w:p w:rsidR="00C92A44" w:rsidRDefault="005148A7" w:rsidP="00C92A44">
      <w:pPr>
        <w:pStyle w:val="Default"/>
        <w:rPr>
          <w:color w:val="auto"/>
          <w:sz w:val="20"/>
          <w:szCs w:val="20"/>
          <w:lang w:val="en-AU"/>
        </w:rPr>
      </w:pPr>
      <w:r>
        <w:rPr>
          <w:color w:val="auto"/>
          <w:sz w:val="20"/>
          <w:szCs w:val="20"/>
          <w:lang w:val="en-AU"/>
        </w:rPr>
        <w:t xml:space="preserve">For information on </w:t>
      </w:r>
      <w:r w:rsidR="00751A08">
        <w:rPr>
          <w:color w:val="auto"/>
          <w:sz w:val="20"/>
          <w:szCs w:val="20"/>
          <w:lang w:val="en-AU"/>
        </w:rPr>
        <w:t>Board</w:t>
      </w:r>
      <w:r w:rsidR="00FE72B6">
        <w:rPr>
          <w:color w:val="auto"/>
          <w:sz w:val="20"/>
          <w:szCs w:val="20"/>
          <w:lang w:val="en-AU"/>
        </w:rPr>
        <w:t>, panel and committee</w:t>
      </w:r>
      <w:r w:rsidR="00751A08">
        <w:rPr>
          <w:color w:val="auto"/>
          <w:sz w:val="20"/>
          <w:szCs w:val="20"/>
          <w:lang w:val="en-AU"/>
        </w:rPr>
        <w:t xml:space="preserve"> vacancies please</w:t>
      </w:r>
      <w:r>
        <w:rPr>
          <w:color w:val="auto"/>
          <w:sz w:val="20"/>
          <w:szCs w:val="20"/>
          <w:lang w:val="en-AU"/>
        </w:rPr>
        <w:t xml:space="preserve"> check the </w:t>
      </w:r>
      <w:hyperlink r:id="rId11" w:history="1">
        <w:r w:rsidRPr="005148A7">
          <w:rPr>
            <w:rStyle w:val="Hyperlink"/>
            <w:sz w:val="20"/>
            <w:szCs w:val="20"/>
            <w:lang w:val="en-AU"/>
          </w:rPr>
          <w:t>Board website</w:t>
        </w:r>
      </w:hyperlink>
      <w:r>
        <w:rPr>
          <w:color w:val="auto"/>
          <w:sz w:val="20"/>
          <w:szCs w:val="20"/>
          <w:lang w:val="en-AU"/>
        </w:rPr>
        <w:t>.</w:t>
      </w:r>
    </w:p>
    <w:p w:rsidR="005148A7" w:rsidRPr="00C92A44" w:rsidRDefault="005148A7" w:rsidP="00C92A44">
      <w:pPr>
        <w:pStyle w:val="Default"/>
        <w:rPr>
          <w:color w:val="auto"/>
          <w:sz w:val="20"/>
          <w:szCs w:val="20"/>
          <w:lang w:val="en-AU"/>
        </w:rPr>
      </w:pPr>
    </w:p>
    <w:p w:rsidR="00853C2E" w:rsidRPr="00083C18" w:rsidRDefault="00083C18" w:rsidP="00083C18">
      <w:pPr>
        <w:pStyle w:val="AHPRASubhead"/>
      </w:pPr>
      <w:r w:rsidRPr="00083C18">
        <w:t>Newsletter</w:t>
      </w:r>
    </w:p>
    <w:p w:rsidR="008E664D" w:rsidRDefault="003012FE">
      <w:r>
        <w:rPr>
          <w:sz w:val="20"/>
          <w:szCs w:val="20"/>
        </w:rPr>
        <w:t xml:space="preserve">The Board has published the latest edition of its newsletter. Newsletters are sent directly to registered dental practitioners for whom we have a current email address. You can access the newsletter in the </w:t>
      </w:r>
      <w:hyperlink r:id="rId12" w:history="1">
        <w:r w:rsidRPr="00927E4B">
          <w:rPr>
            <w:rStyle w:val="Hyperlink"/>
            <w:sz w:val="20"/>
            <w:szCs w:val="20"/>
          </w:rPr>
          <w:t>Newsletter section</w:t>
        </w:r>
      </w:hyperlink>
      <w:r>
        <w:rPr>
          <w:color w:val="0000FF"/>
          <w:sz w:val="20"/>
          <w:szCs w:val="20"/>
        </w:rPr>
        <w:t xml:space="preserve"> </w:t>
      </w:r>
      <w:r>
        <w:rPr>
          <w:sz w:val="20"/>
          <w:szCs w:val="20"/>
        </w:rPr>
        <w:t>of the Board’s website.</w:t>
      </w:r>
    </w:p>
    <w:p w:rsidR="00927E4B" w:rsidRDefault="00927E4B">
      <w:pPr>
        <w:pStyle w:val="AHPRASubhead"/>
      </w:pPr>
    </w:p>
    <w:p w:rsidR="00927E4B" w:rsidRDefault="00927E4B">
      <w:pPr>
        <w:pStyle w:val="AHPRASubhead"/>
      </w:pPr>
    </w:p>
    <w:p w:rsidR="008E664D" w:rsidRDefault="00384792">
      <w:pPr>
        <w:pStyle w:val="AHPRASubhead"/>
      </w:pPr>
      <w:r w:rsidRPr="00384792">
        <w:lastRenderedPageBreak/>
        <w:t xml:space="preserve">Regulatory stakeholders to gather at CLEAR </w:t>
      </w:r>
    </w:p>
    <w:p w:rsidR="008E664D" w:rsidRDefault="00384792">
      <w:pPr>
        <w:pStyle w:val="cs2654ae3a"/>
        <w:rPr>
          <w:szCs w:val="20"/>
        </w:rPr>
      </w:pPr>
      <w:r w:rsidRPr="00384792">
        <w:rPr>
          <w:rFonts w:ascii="Arial" w:hAnsi="Arial"/>
          <w:sz w:val="20"/>
          <w:szCs w:val="20"/>
        </w:rPr>
        <w:t xml:space="preserve">The Fifth International Congress on Professional and Occupational Regulation will be held this November in Melbourne, Australia. AHPRA will join other regulatory stakeholders from around the world to share global perspectives on licensure and regulation. </w:t>
      </w:r>
    </w:p>
    <w:p w:rsidR="008E664D" w:rsidRDefault="008E664D">
      <w:pPr>
        <w:pStyle w:val="cs2654ae3a"/>
        <w:rPr>
          <w:rFonts w:ascii="Calibri" w:hAnsi="Calibri"/>
          <w:color w:val="000000"/>
          <w:sz w:val="22"/>
          <w:szCs w:val="22"/>
        </w:rPr>
      </w:pPr>
    </w:p>
    <w:p w:rsidR="008E664D" w:rsidRDefault="00384792">
      <w:pPr>
        <w:rPr>
          <w:szCs w:val="20"/>
        </w:rPr>
      </w:pPr>
      <w:r w:rsidRPr="00384792">
        <w:rPr>
          <w:sz w:val="20"/>
          <w:szCs w:val="20"/>
        </w:rPr>
        <w:t xml:space="preserve">Additional information about the conference is on the </w:t>
      </w:r>
      <w:hyperlink r:id="rId13" w:history="1">
        <w:r w:rsidRPr="00384792">
          <w:rPr>
            <w:rStyle w:val="Hyperlink"/>
            <w:sz w:val="20"/>
            <w:szCs w:val="20"/>
          </w:rPr>
          <w:t>AHPRA website</w:t>
        </w:r>
      </w:hyperlink>
      <w:r w:rsidR="00F815AF">
        <w:rPr>
          <w:sz w:val="20"/>
          <w:szCs w:val="20"/>
        </w:rPr>
        <w:t>.</w:t>
      </w:r>
      <w:r w:rsidRPr="00384792">
        <w:rPr>
          <w:sz w:val="20"/>
          <w:szCs w:val="20"/>
        </w:rPr>
        <w:t xml:space="preserve"> </w:t>
      </w:r>
    </w:p>
    <w:p w:rsidR="0012718B" w:rsidRDefault="0012718B" w:rsidP="0012718B">
      <w:pPr>
        <w:pStyle w:val="AHPRASubhead"/>
      </w:pPr>
      <w:r>
        <w:t>Follow AHPRA on social media</w:t>
      </w:r>
    </w:p>
    <w:p w:rsidR="009E638F" w:rsidRPr="009E638F" w:rsidRDefault="009E638F" w:rsidP="009E638F">
      <w:pPr>
        <w:rPr>
          <w:rFonts w:cs="Arial"/>
          <w:color w:val="0000FF"/>
          <w:sz w:val="20"/>
          <w:szCs w:val="20"/>
          <w:lang w:val="en-US"/>
        </w:rPr>
      </w:pPr>
      <w:r w:rsidRPr="009E638F">
        <w:rPr>
          <w:rFonts w:cs="Arial"/>
          <w:sz w:val="20"/>
          <w:lang w:val="en-US"/>
        </w:rPr>
        <w:t xml:space="preserve">Connect with AHPRA on </w:t>
      </w:r>
      <w:hyperlink r:id="rId14" w:history="1">
        <w:r w:rsidRPr="009E638F">
          <w:rPr>
            <w:rFonts w:cs="Arial"/>
            <w:color w:val="0000FF"/>
            <w:sz w:val="20"/>
            <w:u w:val="single"/>
            <w:lang w:val="en-US"/>
          </w:rPr>
          <w:t>Facebook</w:t>
        </w:r>
      </w:hyperlink>
      <w:r w:rsidRPr="009E638F">
        <w:rPr>
          <w:rFonts w:cs="Arial"/>
          <w:sz w:val="20"/>
          <w:lang w:val="en-US"/>
        </w:rPr>
        <w:t xml:space="preserve">, </w:t>
      </w:r>
      <w:hyperlink r:id="rId15" w:history="1">
        <w:r w:rsidRPr="009E638F">
          <w:rPr>
            <w:rFonts w:cs="Arial"/>
            <w:color w:val="0000FF"/>
            <w:sz w:val="20"/>
            <w:u w:val="single"/>
            <w:lang w:val="en-US"/>
          </w:rPr>
          <w:t>Twitter</w:t>
        </w:r>
      </w:hyperlink>
      <w:r w:rsidRPr="009E638F">
        <w:rPr>
          <w:rFonts w:cs="Arial"/>
          <w:color w:val="000000"/>
          <w:sz w:val="20"/>
          <w:lang w:val="en-US"/>
        </w:rPr>
        <w:t xml:space="preserve"> or </w:t>
      </w:r>
      <w:hyperlink r:id="rId16" w:history="1">
        <w:r w:rsidRPr="009E638F">
          <w:rPr>
            <w:rFonts w:cs="Arial"/>
            <w:color w:val="0000FF"/>
            <w:sz w:val="20"/>
            <w:u w:val="single"/>
            <w:lang w:val="en-US"/>
          </w:rPr>
          <w:t>LinkedIn</w:t>
        </w:r>
      </w:hyperlink>
      <w:r w:rsidRPr="009E638F">
        <w:rPr>
          <w:rFonts w:cs="Arial"/>
          <w:color w:val="0000FF"/>
          <w:sz w:val="20"/>
          <w:lang w:val="en-US"/>
        </w:rPr>
        <w:t xml:space="preserve"> </w:t>
      </w:r>
      <w:r w:rsidRPr="009E638F">
        <w:rPr>
          <w:rFonts w:cs="Arial"/>
          <w:color w:val="000000"/>
          <w:sz w:val="20"/>
          <w:lang w:val="en-US"/>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495"/>
        <w:gridCol w:w="495"/>
        <w:gridCol w:w="465"/>
      </w:tblGrid>
      <w:tr w:rsidR="009E638F" w:rsidRPr="009E638F" w:rsidTr="00083C18">
        <w:trPr>
          <w:trHeight w:val="412"/>
        </w:trPr>
        <w:tc>
          <w:tcPr>
            <w:tcW w:w="495" w:type="dxa"/>
            <w:shd w:val="clear" w:color="auto" w:fill="FFFFFF"/>
            <w:hideMark/>
          </w:tcPr>
          <w:p w:rsidR="009E638F" w:rsidRPr="009E638F" w:rsidRDefault="00EA4E46" w:rsidP="009E638F">
            <w:pPr>
              <w:rPr>
                <w:rFonts w:cs="Arial"/>
                <w:sz w:val="20"/>
                <w:lang w:val="en-US"/>
              </w:rPr>
            </w:pPr>
            <w:r>
              <w:rPr>
                <w:rFonts w:cs="Arial"/>
                <w:noProof/>
                <w:sz w:val="20"/>
                <w:lang w:eastAsia="en-AU"/>
              </w:rPr>
              <w:drawing>
                <wp:inline distT="0" distB="0" distL="0" distR="0">
                  <wp:extent cx="295275" cy="295275"/>
                  <wp:effectExtent l="0" t="0" r="0" b="0"/>
                  <wp:docPr id="1" name="Picture 6" descr="cid:image001.png@01D29412.B22B9AD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png@01D29412.B22B9A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95" w:type="dxa"/>
            <w:shd w:val="clear" w:color="auto" w:fill="FFFFFF"/>
            <w:hideMark/>
          </w:tcPr>
          <w:p w:rsidR="009E638F" w:rsidRPr="009E638F" w:rsidRDefault="00EA4E46" w:rsidP="009E638F">
            <w:pPr>
              <w:rPr>
                <w:rFonts w:cs="Arial"/>
                <w:sz w:val="20"/>
                <w:lang w:val="en-US"/>
              </w:rPr>
            </w:pPr>
            <w:r>
              <w:rPr>
                <w:rFonts w:cs="Arial"/>
                <w:noProof/>
                <w:sz w:val="20"/>
                <w:lang w:eastAsia="en-AU"/>
              </w:rPr>
              <w:drawing>
                <wp:inline distT="0" distB="0" distL="0" distR="0">
                  <wp:extent cx="295275" cy="295275"/>
                  <wp:effectExtent l="0" t="0" r="0" b="0"/>
                  <wp:docPr id="2" name="Picture 5" descr="cid:image002.png@01D29412.B22B9AD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29412.B22B9A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65" w:type="dxa"/>
            <w:shd w:val="clear" w:color="auto" w:fill="FFFFFF"/>
            <w:hideMark/>
          </w:tcPr>
          <w:p w:rsidR="009E638F" w:rsidRPr="009E638F" w:rsidRDefault="00EA4E46" w:rsidP="009E638F">
            <w:pPr>
              <w:rPr>
                <w:rFonts w:cs="Arial"/>
                <w:sz w:val="20"/>
                <w:lang w:val="en-US"/>
              </w:rPr>
            </w:pPr>
            <w:r>
              <w:rPr>
                <w:rFonts w:cs="Arial"/>
                <w:noProof/>
                <w:sz w:val="20"/>
                <w:lang w:eastAsia="en-AU"/>
              </w:rPr>
              <w:drawing>
                <wp:inline distT="0" distB="0" distL="0" distR="0">
                  <wp:extent cx="285750" cy="285750"/>
                  <wp:effectExtent l="0" t="0" r="0" b="0"/>
                  <wp:docPr id="3" name="Picture 4" descr="cid:image003.png@01D29412.B22B9AD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29412.B22B9A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876494" w:rsidRPr="00092C0D" w:rsidRDefault="00876494" w:rsidP="00876494">
      <w:pPr>
        <w:pStyle w:val="AHPRASubhead"/>
      </w:pPr>
      <w:r w:rsidRPr="00092C0D">
        <w:t>Are your contact details up-to-date?</w:t>
      </w:r>
    </w:p>
    <w:p w:rsidR="00876494" w:rsidRDefault="00876494" w:rsidP="00876494">
      <w:pPr>
        <w:pStyle w:val="AHPRAbody"/>
      </w:pPr>
      <w:r w:rsidRPr="00092C0D">
        <w:t>It is important that your contact details are up-to-date to receive renewal reminders from AHPRA and information from the Board. You can check your details via the</w:t>
      </w:r>
      <w:r w:rsidRPr="00DA20E0">
        <w:t xml:space="preserve"> </w:t>
      </w:r>
      <w:hyperlink r:id="rId23" w:history="1">
        <w:r w:rsidRPr="00092C0D">
          <w:rPr>
            <w:rStyle w:val="Hyperlink"/>
          </w:rPr>
          <w:t>Login icon</w:t>
        </w:r>
      </w:hyperlink>
      <w:r w:rsidRPr="00DA20E0">
        <w:t xml:space="preserve"> at the top right of the AHPRA website. Email accounts need to be set to receive communications from AHPRA and the Board to avoid misdirection to an account junk box.</w:t>
      </w:r>
    </w:p>
    <w:p w:rsidR="00EF5DCC" w:rsidRDefault="00EF5DCC" w:rsidP="00EF5DCC">
      <w:pPr>
        <w:pStyle w:val="AHPRASubhead"/>
        <w:spacing w:after="0" w:line="24" w:lineRule="atLeast"/>
      </w:pPr>
      <w:r>
        <w:t xml:space="preserve">Conclusion </w:t>
      </w:r>
    </w:p>
    <w:p w:rsidR="00EF5DCC" w:rsidRDefault="00EF5DCC" w:rsidP="00EF5DCC">
      <w:pPr>
        <w:pStyle w:val="AHPRASubhead"/>
        <w:spacing w:after="0" w:line="24" w:lineRule="atLeast"/>
      </w:pPr>
    </w:p>
    <w:p w:rsidR="0012718B" w:rsidRDefault="00EF5DCC" w:rsidP="00EF5DCC">
      <w:pPr>
        <w:pStyle w:val="AHPRAbody"/>
        <w:spacing w:after="0" w:line="24" w:lineRule="atLeast"/>
      </w:pPr>
      <w:r>
        <w:t xml:space="preserve">The National Board publishes a range of information about registration and the National Board’s expectations of practitioners on its website at </w:t>
      </w:r>
      <w:r>
        <w:rPr>
          <w:color w:val="0000FF"/>
          <w:u w:val="single"/>
        </w:rPr>
        <w:t xml:space="preserve">www.dentalboard.gov.au </w:t>
      </w:r>
      <w:r>
        <w:t xml:space="preserve">or </w:t>
      </w:r>
      <w:r>
        <w:rPr>
          <w:color w:val="0000FF"/>
          <w:u w:val="single"/>
        </w:rPr>
        <w:t>www.ahpra.gov.au</w:t>
      </w:r>
      <w:r>
        <w:t xml:space="preserve">. </w:t>
      </w:r>
    </w:p>
    <w:p w:rsidR="0012718B" w:rsidRDefault="0012718B" w:rsidP="00EF5DCC">
      <w:pPr>
        <w:pStyle w:val="AHPRAbody"/>
        <w:spacing w:after="0" w:line="24" w:lineRule="atLeast"/>
      </w:pPr>
    </w:p>
    <w:p w:rsidR="00EF5DCC" w:rsidRDefault="00EF5DCC" w:rsidP="00EF5DCC">
      <w:pPr>
        <w:pStyle w:val="AHPRAbody"/>
        <w:spacing w:after="0" w:line="24" w:lineRule="atLeast"/>
      </w:pPr>
      <w:r>
        <w:t xml:space="preserve">For more information or help with questions about your registration please send an </w:t>
      </w:r>
      <w:hyperlink r:id="rId24" w:anchor="Webenquiryform" w:history="1">
        <w:r>
          <w:rPr>
            <w:rStyle w:val="Hyperlink"/>
          </w:rPr>
          <w:t>online enquiry form</w:t>
        </w:r>
      </w:hyperlink>
      <w:r>
        <w:rPr>
          <w:color w:val="0000FF"/>
          <w:u w:val="single"/>
        </w:rPr>
        <w:t xml:space="preserve"> </w:t>
      </w:r>
      <w:r>
        <w:t xml:space="preserve">or contact AHPRA on 1300 419 495. </w:t>
      </w:r>
    </w:p>
    <w:p w:rsidR="00876494" w:rsidRDefault="00876494" w:rsidP="00876494">
      <w:pPr>
        <w:pStyle w:val="AHPRAbody"/>
        <w:spacing w:after="0"/>
      </w:pPr>
    </w:p>
    <w:p w:rsidR="00876494" w:rsidRPr="00BE0F7E" w:rsidRDefault="00876494" w:rsidP="00876494">
      <w:pPr>
        <w:pStyle w:val="AHPRAbody"/>
        <w:spacing w:after="0"/>
      </w:pPr>
      <w:r w:rsidRPr="00BE0F7E">
        <w:t>John Lockwood AM</w:t>
      </w:r>
    </w:p>
    <w:p w:rsidR="00876494" w:rsidRDefault="00876494" w:rsidP="00876494">
      <w:pPr>
        <w:pStyle w:val="AHPRASubheadinglevel3"/>
        <w:spacing w:before="0" w:after="0"/>
        <w:rPr>
          <w:b/>
        </w:rPr>
      </w:pPr>
      <w:r>
        <w:rPr>
          <w:b/>
        </w:rPr>
        <w:t xml:space="preserve">Chair, </w:t>
      </w:r>
      <w:r w:rsidRPr="00BE0F7E">
        <w:rPr>
          <w:b/>
        </w:rPr>
        <w:t>Dental Board of Australia</w:t>
      </w:r>
    </w:p>
    <w:p w:rsidR="00CD3FE0" w:rsidRDefault="00927E4B" w:rsidP="009F7261">
      <w:pPr>
        <w:pStyle w:val="AHPRAbody"/>
        <w:spacing w:after="0"/>
      </w:pPr>
      <w:r>
        <w:t xml:space="preserve">6 June </w:t>
      </w:r>
      <w:r w:rsidR="00876494" w:rsidRPr="00950BF7">
        <w:t>2017</w:t>
      </w:r>
    </w:p>
    <w:sectPr w:rsidR="00CD3FE0" w:rsidSect="00083C18">
      <w:headerReference w:type="default" r:id="rId25"/>
      <w:footerReference w:type="even" r:id="rId26"/>
      <w:footerReference w:type="default" r:id="rId27"/>
      <w:headerReference w:type="first" r:id="rId28"/>
      <w:footerReference w:type="first" r:id="rId29"/>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887" w:rsidRDefault="008D0887" w:rsidP="00876494">
      <w:pPr>
        <w:spacing w:after="0"/>
      </w:pPr>
      <w:r>
        <w:separator/>
      </w:r>
    </w:p>
  </w:endnote>
  <w:endnote w:type="continuationSeparator" w:id="0">
    <w:p w:rsidR="008D0887" w:rsidRDefault="008D0887" w:rsidP="008764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87" w:rsidRDefault="00384792" w:rsidP="00083C18">
    <w:pPr>
      <w:pStyle w:val="AHPRAfootnote"/>
      <w:framePr w:wrap="around" w:vAnchor="text" w:hAnchor="margin" w:xAlign="right" w:y="1"/>
    </w:pPr>
    <w:r>
      <w:fldChar w:fldCharType="begin"/>
    </w:r>
    <w:r w:rsidR="008D0887">
      <w:instrText xml:space="preserve">PAGE  </w:instrText>
    </w:r>
    <w:r>
      <w:fldChar w:fldCharType="end"/>
    </w:r>
  </w:p>
  <w:p w:rsidR="008D0887" w:rsidRDefault="008D0887" w:rsidP="00083C18">
    <w:pPr>
      <w:pStyle w:val="AHPRAfootnote"/>
      <w:ind w:right="360"/>
    </w:pPr>
  </w:p>
  <w:p w:rsidR="008D0887" w:rsidRDefault="008D08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87" w:rsidRPr="000E7E28" w:rsidRDefault="005431FC" w:rsidP="00083C18">
    <w:pPr>
      <w:pStyle w:val="AHPRApagenumber"/>
    </w:pPr>
    <w:sdt>
      <w:sdtPr>
        <w:id w:val="16333165"/>
        <w:docPartObj>
          <w:docPartGallery w:val="Page Numbers (Top of Page)"/>
          <w:docPartUnique/>
        </w:docPartObj>
      </w:sdtPr>
      <w:sdtEndPr/>
      <w:sdtContent>
        <w:r w:rsidR="008D0887" w:rsidRPr="000E7E28">
          <w:t xml:space="preserve">Page </w:t>
        </w:r>
        <w:r w:rsidR="00384792">
          <w:fldChar w:fldCharType="begin"/>
        </w:r>
        <w:r w:rsidR="00351EFA">
          <w:instrText xml:space="preserve"> PAGE </w:instrText>
        </w:r>
        <w:r w:rsidR="00384792">
          <w:fldChar w:fldCharType="separate"/>
        </w:r>
        <w:r>
          <w:rPr>
            <w:noProof/>
          </w:rPr>
          <w:t>2</w:t>
        </w:r>
        <w:r w:rsidR="00384792">
          <w:rPr>
            <w:noProof/>
          </w:rPr>
          <w:fldChar w:fldCharType="end"/>
        </w:r>
        <w:r w:rsidR="008D0887" w:rsidRPr="000E7E28">
          <w:t xml:space="preserve"> of </w:t>
        </w:r>
        <w:r w:rsidR="00384792">
          <w:fldChar w:fldCharType="begin"/>
        </w:r>
        <w:r w:rsidR="00351EFA">
          <w:instrText xml:space="preserve"> NUMPAGES  </w:instrText>
        </w:r>
        <w:r w:rsidR="00384792">
          <w:fldChar w:fldCharType="separate"/>
        </w:r>
        <w:r>
          <w:rPr>
            <w:noProof/>
          </w:rPr>
          <w:t>2</w:t>
        </w:r>
        <w:r w:rsidR="00384792">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87" w:rsidRDefault="008D0887" w:rsidP="00083C18">
    <w:pPr>
      <w:pStyle w:val="AHPRA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887" w:rsidRDefault="008D0887" w:rsidP="00876494">
      <w:pPr>
        <w:spacing w:after="0"/>
      </w:pPr>
      <w:r>
        <w:separator/>
      </w:r>
    </w:p>
  </w:footnote>
  <w:footnote w:type="continuationSeparator" w:id="0">
    <w:p w:rsidR="008D0887" w:rsidRDefault="008D0887" w:rsidP="008764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87" w:rsidRPr="00315933" w:rsidRDefault="008D0887" w:rsidP="00083C18">
    <w:pPr>
      <w:ind w:left="-1134" w:right="-567"/>
      <w:jc w:val="right"/>
    </w:pPr>
  </w:p>
  <w:p w:rsidR="008D0887" w:rsidRDefault="008D08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87" w:rsidRDefault="008D0887" w:rsidP="00083C18">
    <w:r w:rsidRPr="005E2917">
      <w:rPr>
        <w:noProof/>
        <w:lang w:eastAsia="en-AU"/>
      </w:rPr>
      <w:drawing>
        <wp:anchor distT="0" distB="0" distL="114300" distR="114300" simplePos="0" relativeHeight="251659264" behindDoc="0" locked="0" layoutInCell="1" allowOverlap="1">
          <wp:simplePos x="0" y="0"/>
          <wp:positionH relativeFrom="margin">
            <wp:posOffset>4561205</wp:posOffset>
          </wp:positionH>
          <wp:positionV relativeFrom="margin">
            <wp:posOffset>-1555750</wp:posOffset>
          </wp:positionV>
          <wp:extent cx="1495425" cy="1560830"/>
          <wp:effectExtent l="0" t="0" r="0" b="0"/>
          <wp:wrapSquare wrapText="bothSides"/>
          <wp:docPr id="5" name="Picture 3" descr="Dent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DentalBoardofAustralia_SPOT.jpg"/>
                  <pic:cNvPicPr/>
                </pic:nvPicPr>
                <pic:blipFill>
                  <a:blip r:embed="rId1"/>
                  <a:stretch>
                    <a:fillRect/>
                  </a:stretch>
                </pic:blipFill>
                <pic:spPr>
                  <a:xfrm>
                    <a:off x="0" y="0"/>
                    <a:ext cx="1495425" cy="1560830"/>
                  </a:xfrm>
                  <a:prstGeom prst="rect">
                    <a:avLst/>
                  </a:prstGeom>
                </pic:spPr>
              </pic:pic>
            </a:graphicData>
          </a:graphic>
        </wp:anchor>
      </w:drawing>
    </w:r>
  </w:p>
  <w:p w:rsidR="008D0887" w:rsidRDefault="008D0887" w:rsidP="00083C18"/>
  <w:p w:rsidR="008D0887" w:rsidRDefault="008D0887" w:rsidP="00083C18"/>
  <w:p w:rsidR="008D0887" w:rsidRDefault="008D0887" w:rsidP="00083C18"/>
  <w:p w:rsidR="008D0887" w:rsidRDefault="008D0887" w:rsidP="00083C18"/>
  <w:p w:rsidR="008D0887" w:rsidRDefault="008D0887" w:rsidP="00083C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21C82CFB"/>
    <w:multiLevelType w:val="multilevel"/>
    <w:tmpl w:val="C9BA87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3E72AE"/>
    <w:multiLevelType w:val="hybridMultilevel"/>
    <w:tmpl w:val="AF108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DF55AD"/>
    <w:multiLevelType w:val="hybridMultilevel"/>
    <w:tmpl w:val="0E843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952223"/>
    <w:multiLevelType w:val="multilevel"/>
    <w:tmpl w:val="9A5C5C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0" w15:restartNumberingAfterBreak="0">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31660"/>
    <w:multiLevelType w:val="multilevel"/>
    <w:tmpl w:val="C4183F12"/>
    <w:numStyleLink w:val="AHPRANumberedlist"/>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8"/>
  </w:num>
  <w:num w:numId="6">
    <w:abstractNumId w:val="13"/>
  </w:num>
  <w:num w:numId="7">
    <w:abstractNumId w:val="13"/>
  </w:num>
  <w:num w:numId="8">
    <w:abstractNumId w:val="12"/>
  </w:num>
  <w:num w:numId="9">
    <w:abstractNumId w:val="12"/>
  </w:num>
  <w:num w:numId="10">
    <w:abstractNumId w:val="11"/>
  </w:num>
  <w:num w:numId="11">
    <w:abstractNumId w:val="11"/>
    <w:lvlOverride w:ilvl="0">
      <w:lvl w:ilvl="0">
        <w:start w:val="1"/>
        <w:numFmt w:val="decimal"/>
        <w:lvlText w:val="%1"/>
        <w:lvlJc w:val="left"/>
        <w:pPr>
          <w:ind w:left="284" w:hanging="284"/>
        </w:pPr>
        <w:rPr>
          <w:rFonts w:ascii="Arial" w:hAnsi="Arial" w:hint="default"/>
          <w:b/>
          <w:color w:val="008EC4"/>
          <w:sz w:val="20"/>
        </w:rPr>
      </w:lvl>
    </w:lvlOverride>
  </w:num>
  <w:num w:numId="12">
    <w:abstractNumId w:val="11"/>
    <w:lvlOverride w:ilvl="0">
      <w:lvl w:ilvl="0">
        <w:start w:val="1"/>
        <w:numFmt w:val="decimal"/>
        <w:lvlText w:val="%1"/>
        <w:lvlJc w:val="left"/>
        <w:pPr>
          <w:ind w:left="284" w:hanging="284"/>
        </w:pPr>
        <w:rPr>
          <w:rFonts w:ascii="Arial" w:hAnsi="Arial" w:hint="default"/>
          <w:b/>
          <w:color w:val="008EC4"/>
          <w:sz w:val="20"/>
        </w:rPr>
      </w:lvl>
    </w:lvlOverride>
  </w:num>
  <w:num w:numId="13">
    <w:abstractNumId w:val="3"/>
  </w:num>
  <w:num w:numId="14">
    <w:abstractNumId w:val="1"/>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2"/>
  </w:num>
  <w:num w:numId="22">
    <w:abstractNumId w:val="2"/>
  </w:num>
  <w:num w:numId="23">
    <w:abstractNumId w:val="2"/>
  </w:num>
  <w:num w:numId="24">
    <w:abstractNumId w:val="9"/>
  </w:num>
  <w:num w:numId="25">
    <w:abstractNumId w:val="8"/>
  </w:num>
  <w:num w:numId="26">
    <w:abstractNumId w:val="14"/>
  </w:num>
  <w:num w:numId="27">
    <w:abstractNumId w:val="0"/>
  </w:num>
  <w:num w:numId="28">
    <w:abstractNumId w:val="8"/>
  </w:num>
  <w:num w:numId="29">
    <w:abstractNumId w:val="8"/>
  </w:num>
  <w:num w:numId="30">
    <w:abstractNumId w:val="0"/>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6494"/>
    <w:rsid w:val="00045DBD"/>
    <w:rsid w:val="000725C4"/>
    <w:rsid w:val="00083C18"/>
    <w:rsid w:val="0011784A"/>
    <w:rsid w:val="0012718B"/>
    <w:rsid w:val="0019494F"/>
    <w:rsid w:val="00277B73"/>
    <w:rsid w:val="003012FE"/>
    <w:rsid w:val="00351EFA"/>
    <w:rsid w:val="00370535"/>
    <w:rsid w:val="00384792"/>
    <w:rsid w:val="003A0266"/>
    <w:rsid w:val="00415E27"/>
    <w:rsid w:val="0046427F"/>
    <w:rsid w:val="005148A7"/>
    <w:rsid w:val="005431FC"/>
    <w:rsid w:val="005B3644"/>
    <w:rsid w:val="00751A08"/>
    <w:rsid w:val="007727D9"/>
    <w:rsid w:val="008157E1"/>
    <w:rsid w:val="00853C2E"/>
    <w:rsid w:val="00876494"/>
    <w:rsid w:val="00895C48"/>
    <w:rsid w:val="008D0887"/>
    <w:rsid w:val="008E664D"/>
    <w:rsid w:val="008F733C"/>
    <w:rsid w:val="009030AA"/>
    <w:rsid w:val="00927E4B"/>
    <w:rsid w:val="00957C05"/>
    <w:rsid w:val="009E638F"/>
    <w:rsid w:val="009F3D79"/>
    <w:rsid w:val="009F7261"/>
    <w:rsid w:val="00A76DCC"/>
    <w:rsid w:val="00B569B5"/>
    <w:rsid w:val="00B858CB"/>
    <w:rsid w:val="00C92A44"/>
    <w:rsid w:val="00CD3FE0"/>
    <w:rsid w:val="00D121D5"/>
    <w:rsid w:val="00D76BB8"/>
    <w:rsid w:val="00D937A8"/>
    <w:rsid w:val="00DB5873"/>
    <w:rsid w:val="00E0714F"/>
    <w:rsid w:val="00EA4E46"/>
    <w:rsid w:val="00EF23C3"/>
    <w:rsid w:val="00EF5DCC"/>
    <w:rsid w:val="00F137B5"/>
    <w:rsid w:val="00F13C5B"/>
    <w:rsid w:val="00F815AF"/>
    <w:rsid w:val="00FE7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15:docId w15:val="{2B2664C8-7B4E-4FBC-AD1C-57A1D272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876494"/>
    <w:pPr>
      <w:spacing w:after="200"/>
    </w:pPr>
    <w:rPr>
      <w:rFonts w:cs="Times New Roman"/>
      <w:sz w:val="24"/>
      <w:szCs w:val="24"/>
      <w:lang w:val="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030AA"/>
  </w:style>
  <w:style w:type="paragraph" w:styleId="ListParagraph">
    <w:name w:val="List Paragraph"/>
    <w:basedOn w:val="Normal"/>
    <w:uiPriority w:val="34"/>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rPr>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rsid w:val="009030AA"/>
    <w:pPr>
      <w:numPr>
        <w:numId w:val="26"/>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30"/>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F13C5B"/>
    <w:pPr>
      <w:numPr>
        <w:numId w:val="29"/>
      </w:numPr>
    </w:pPr>
    <w:rPr>
      <w:sz w:val="20"/>
    </w:rPr>
  </w:style>
  <w:style w:type="paragraph" w:customStyle="1" w:styleId="AHPRABulletlevel1last">
    <w:name w:val="AHPRA Bullet level 1 last"/>
    <w:basedOn w:val="AHPRABulletlevel1"/>
    <w:next w:val="Normal"/>
    <w:rsid w:val="003A0266"/>
    <w:pPr>
      <w:numPr>
        <w:numId w:val="0"/>
      </w:numPr>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pPr>
  </w:style>
  <w:style w:type="paragraph" w:customStyle="1" w:styleId="AHPRADocumentsubheading">
    <w:name w:val="AHPRA Document subheading"/>
    <w:basedOn w:val="Normal"/>
    <w:next w:val="Normal"/>
    <w:qFormat/>
    <w:rsid w:val="00F13C5B"/>
    <w:pPr>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rPr>
      <w:color w:val="008EC4"/>
      <w:sz w:val="28"/>
      <w:lang w:val="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iPriority w:val="1"/>
    <w:unhideWhenUsed/>
    <w:rsid w:val="003A0266"/>
    <w:rPr>
      <w:sz w:val="16"/>
      <w:szCs w:val="16"/>
    </w:rPr>
  </w:style>
  <w:style w:type="paragraph" w:styleId="CommentText">
    <w:name w:val="annotation text"/>
    <w:basedOn w:val="Normal"/>
    <w:link w:val="CommentTextChar"/>
    <w:uiPriority w:val="1"/>
    <w:unhideWhenUsed/>
    <w:rsid w:val="003A0266"/>
    <w:rPr>
      <w:sz w:val="20"/>
      <w:szCs w:val="20"/>
    </w:rPr>
  </w:style>
  <w:style w:type="character" w:customStyle="1" w:styleId="CommentTextChar">
    <w:name w:val="Comment Text Char"/>
    <w:basedOn w:val="DefaultParagraphFont"/>
    <w:link w:val="CommentText"/>
    <w:uiPriority w:val="1"/>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uiPriority w:val="1"/>
    <w:rsid w:val="003A0266"/>
    <w:pPr>
      <w:tabs>
        <w:tab w:val="center" w:pos="4513"/>
        <w:tab w:val="right" w:pos="9026"/>
      </w:tabs>
    </w:pPr>
  </w:style>
  <w:style w:type="character" w:customStyle="1" w:styleId="FooterChar">
    <w:name w:val="Footer Char"/>
    <w:basedOn w:val="DefaultParagraphFont"/>
    <w:link w:val="Footer"/>
    <w:uiPriority w:val="1"/>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iPriority w:val="1"/>
    <w:unhideWhenUsed/>
    <w:rsid w:val="003A0266"/>
    <w:pPr>
      <w:tabs>
        <w:tab w:val="center" w:pos="4513"/>
        <w:tab w:val="right" w:pos="9026"/>
      </w:tabs>
    </w:pPr>
  </w:style>
  <w:style w:type="character" w:customStyle="1" w:styleId="HeaderChar">
    <w:name w:val="Header Char"/>
    <w:basedOn w:val="DefaultParagraphFont"/>
    <w:link w:val="Header"/>
    <w:uiPriority w:val="1"/>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AHPRASubhead">
    <w:name w:val="AHPRA Subhead"/>
    <w:basedOn w:val="Normal"/>
    <w:qFormat/>
    <w:rsid w:val="00876494"/>
    <w:pPr>
      <w:spacing w:line="276" w:lineRule="auto"/>
    </w:pPr>
    <w:rPr>
      <w:rFonts w:eastAsiaTheme="minorHAnsi" w:cstheme="minorBidi"/>
      <w:b/>
      <w:color w:val="008EC4"/>
      <w:sz w:val="20"/>
      <w:szCs w:val="22"/>
    </w:rPr>
  </w:style>
  <w:style w:type="paragraph" w:customStyle="1" w:styleId="AHPRABody0">
    <w:name w:val="AHPRA Body"/>
    <w:basedOn w:val="Normal"/>
    <w:qFormat/>
    <w:rsid w:val="00853C2E"/>
    <w:pPr>
      <w:spacing w:after="0"/>
    </w:pPr>
    <w:rPr>
      <w:rFonts w:eastAsia="Times New Roman" w:cs="Arial"/>
      <w:sz w:val="20"/>
      <w:szCs w:val="20"/>
      <w:lang w:eastAsia="en-AU"/>
    </w:rPr>
  </w:style>
  <w:style w:type="character" w:styleId="FollowedHyperlink">
    <w:name w:val="FollowedHyperlink"/>
    <w:basedOn w:val="DefaultParagraphFont"/>
    <w:uiPriority w:val="99"/>
    <w:semiHidden/>
    <w:unhideWhenUsed/>
    <w:rsid w:val="00045DB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F5DCC"/>
    <w:rPr>
      <w:b/>
      <w:bCs/>
    </w:rPr>
  </w:style>
  <w:style w:type="character" w:customStyle="1" w:styleId="CommentSubjectChar">
    <w:name w:val="Comment Subject Char"/>
    <w:basedOn w:val="CommentTextChar"/>
    <w:link w:val="CommentSubject"/>
    <w:uiPriority w:val="99"/>
    <w:semiHidden/>
    <w:rsid w:val="00EF5DCC"/>
    <w:rPr>
      <w:rFonts w:eastAsia="Cambria" w:cs="Times New Roman"/>
      <w:b/>
      <w:bCs/>
      <w:szCs w:val="20"/>
      <w:lang w:val="en-AU"/>
    </w:rPr>
  </w:style>
  <w:style w:type="paragraph" w:customStyle="1" w:styleId="Default">
    <w:name w:val="Default"/>
    <w:basedOn w:val="Normal"/>
    <w:rsid w:val="00C92A44"/>
    <w:pPr>
      <w:autoSpaceDE w:val="0"/>
      <w:autoSpaceDN w:val="0"/>
      <w:spacing w:after="0"/>
    </w:pPr>
    <w:rPr>
      <w:rFonts w:eastAsiaTheme="minorHAnsi" w:cs="Arial"/>
      <w:color w:val="000000"/>
      <w:lang w:val="en-US"/>
    </w:rPr>
  </w:style>
  <w:style w:type="paragraph" w:customStyle="1" w:styleId="cs2654ae3a">
    <w:name w:val="cs2654ae3a"/>
    <w:basedOn w:val="Normal"/>
    <w:rsid w:val="00F815AF"/>
    <w:pPr>
      <w:spacing w:after="0"/>
    </w:pPr>
    <w:rPr>
      <w:rFonts w:ascii="Times New Roman" w:eastAsiaTheme="minorHAnsi" w:hAnsi="Times New Roman"/>
      <w:lang w:eastAsia="en-AU"/>
    </w:rPr>
  </w:style>
  <w:style w:type="character" w:customStyle="1" w:styleId="csc8f6d761">
    <w:name w:val="csc8f6d761"/>
    <w:basedOn w:val="DefaultParagraphFont"/>
    <w:rsid w:val="00F815AF"/>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095">
      <w:bodyDiv w:val="1"/>
      <w:marLeft w:val="0"/>
      <w:marRight w:val="0"/>
      <w:marTop w:val="0"/>
      <w:marBottom w:val="0"/>
      <w:divBdr>
        <w:top w:val="none" w:sz="0" w:space="0" w:color="auto"/>
        <w:left w:val="none" w:sz="0" w:space="0" w:color="auto"/>
        <w:bottom w:val="none" w:sz="0" w:space="0" w:color="auto"/>
        <w:right w:val="none" w:sz="0" w:space="0" w:color="auto"/>
      </w:divBdr>
    </w:div>
    <w:div w:id="76709869">
      <w:bodyDiv w:val="1"/>
      <w:marLeft w:val="0"/>
      <w:marRight w:val="0"/>
      <w:marTop w:val="0"/>
      <w:marBottom w:val="0"/>
      <w:divBdr>
        <w:top w:val="none" w:sz="0" w:space="0" w:color="auto"/>
        <w:left w:val="none" w:sz="0" w:space="0" w:color="auto"/>
        <w:bottom w:val="none" w:sz="0" w:space="0" w:color="auto"/>
        <w:right w:val="none" w:sz="0" w:space="0" w:color="auto"/>
      </w:divBdr>
    </w:div>
    <w:div w:id="650986791">
      <w:bodyDiv w:val="1"/>
      <w:marLeft w:val="0"/>
      <w:marRight w:val="0"/>
      <w:marTop w:val="0"/>
      <w:marBottom w:val="0"/>
      <w:divBdr>
        <w:top w:val="none" w:sz="0" w:space="0" w:color="auto"/>
        <w:left w:val="none" w:sz="0" w:space="0" w:color="auto"/>
        <w:bottom w:val="none" w:sz="0" w:space="0" w:color="auto"/>
        <w:right w:val="none" w:sz="0" w:space="0" w:color="auto"/>
      </w:divBdr>
    </w:div>
    <w:div w:id="1017536588">
      <w:bodyDiv w:val="1"/>
      <w:marLeft w:val="0"/>
      <w:marRight w:val="0"/>
      <w:marTop w:val="0"/>
      <w:marBottom w:val="0"/>
      <w:divBdr>
        <w:top w:val="none" w:sz="0" w:space="0" w:color="auto"/>
        <w:left w:val="none" w:sz="0" w:space="0" w:color="auto"/>
        <w:bottom w:val="none" w:sz="0" w:space="0" w:color="auto"/>
        <w:right w:val="none" w:sz="0" w:space="0" w:color="auto"/>
      </w:divBdr>
    </w:div>
    <w:div w:id="1259824307">
      <w:bodyDiv w:val="1"/>
      <w:marLeft w:val="0"/>
      <w:marRight w:val="0"/>
      <w:marTop w:val="0"/>
      <w:marBottom w:val="0"/>
      <w:divBdr>
        <w:top w:val="none" w:sz="0" w:space="0" w:color="auto"/>
        <w:left w:val="none" w:sz="0" w:space="0" w:color="auto"/>
        <w:bottom w:val="none" w:sz="0" w:space="0" w:color="auto"/>
        <w:right w:val="none" w:sz="0" w:space="0" w:color="auto"/>
      </w:divBdr>
    </w:div>
    <w:div w:id="1399090926">
      <w:bodyDiv w:val="1"/>
      <w:marLeft w:val="0"/>
      <w:marRight w:val="0"/>
      <w:marTop w:val="0"/>
      <w:marBottom w:val="0"/>
      <w:divBdr>
        <w:top w:val="none" w:sz="0" w:space="0" w:color="auto"/>
        <w:left w:val="none" w:sz="0" w:space="0" w:color="auto"/>
        <w:bottom w:val="none" w:sz="0" w:space="0" w:color="auto"/>
        <w:right w:val="none" w:sz="0" w:space="0" w:color="auto"/>
      </w:divBdr>
    </w:div>
    <w:div w:id="1420713223">
      <w:bodyDiv w:val="1"/>
      <w:marLeft w:val="0"/>
      <w:marRight w:val="0"/>
      <w:marTop w:val="0"/>
      <w:marBottom w:val="0"/>
      <w:divBdr>
        <w:top w:val="none" w:sz="0" w:space="0" w:color="auto"/>
        <w:left w:val="none" w:sz="0" w:space="0" w:color="auto"/>
        <w:bottom w:val="none" w:sz="0" w:space="0" w:color="auto"/>
        <w:right w:val="none" w:sz="0" w:space="0" w:color="auto"/>
      </w:divBdr>
    </w:div>
    <w:div w:id="1942182575">
      <w:bodyDiv w:val="1"/>
      <w:marLeft w:val="0"/>
      <w:marRight w:val="0"/>
      <w:marTop w:val="0"/>
      <w:marBottom w:val="0"/>
      <w:divBdr>
        <w:top w:val="none" w:sz="0" w:space="0" w:color="auto"/>
        <w:left w:val="none" w:sz="0" w:space="0" w:color="auto"/>
        <w:bottom w:val="none" w:sz="0" w:space="0" w:color="auto"/>
        <w:right w:val="none" w:sz="0" w:space="0" w:color="auto"/>
      </w:divBdr>
    </w:div>
    <w:div w:id="20090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selaw.nsw.gov.au/decision/5902a754e4b0e71e17f591e4" TargetMode="External"/><Relationship Id="rId13" Type="http://schemas.openxmlformats.org/officeDocument/2006/relationships/hyperlink" Target="file:///C:\Users\skamath\AppData\Local\Temp\Cherwell\%3chttp:\www.ahpra.gov.au\News\2017-05-17-registration-opens-for-clear.aspx%3e" TargetMode="External"/><Relationship Id="rId18" Type="http://schemas.openxmlformats.org/officeDocument/2006/relationships/image" Target="cid:image001.png@01D29412.B22B9AD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caselaw.nsw.gov.au/decision/590185e7e4b0e71e17f59136" TargetMode="External"/><Relationship Id="rId12" Type="http://schemas.openxmlformats.org/officeDocument/2006/relationships/hyperlink" Target="http://www.dentalboard.gov.au/News/Newsletters.aspx"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australian-health-practitioner-regulation-agency" TargetMode="External"/><Relationship Id="rId20" Type="http://schemas.openxmlformats.org/officeDocument/2006/relationships/image" Target="cid:image002.png@01D29412.B22B9AD0"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ntalboard.gov.au/About-the-Board/Vacancies.aspx" TargetMode="External"/><Relationship Id="rId24" Type="http://schemas.openxmlformats.org/officeDocument/2006/relationships/hyperlink" Target="https://www.ahpra.gov.au/About-AHPRA/Contact-Us/Make-an-Enquiry.aspx" TargetMode="External"/><Relationship Id="rId5" Type="http://schemas.openxmlformats.org/officeDocument/2006/relationships/footnotes" Target="footnotes.xml"/><Relationship Id="rId15" Type="http://schemas.openxmlformats.org/officeDocument/2006/relationships/hyperlink" Target="https://twitter.com/AHPRA" TargetMode="External"/><Relationship Id="rId23" Type="http://schemas.openxmlformats.org/officeDocument/2006/relationships/hyperlink" Target="https://www.ahpra.gov.au/" TargetMode="External"/><Relationship Id="rId28" Type="http://schemas.openxmlformats.org/officeDocument/2006/relationships/header" Target="header2.xml"/><Relationship Id="rId10" Type="http://schemas.openxmlformats.org/officeDocument/2006/relationships/hyperlink" Target="http://www.ahpra.gov.au/Publications/Tribunal-Decisions.aspx"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ntalboard.gov.au/News.aspx" TargetMode="External"/><Relationship Id="rId14" Type="http://schemas.openxmlformats.org/officeDocument/2006/relationships/hyperlink" Target="https://www.facebook.com/ahpra.gov.au/" TargetMode="External"/><Relationship Id="rId22" Type="http://schemas.openxmlformats.org/officeDocument/2006/relationships/image" Target="cid:image003.png@01D29412.B22B9AD0"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 Meeting of the Dental Board of Australia -  26 May 2017</dc:title>
  <dc:subject>Communique</dc:subject>
  <dc:creator>Dental Board</dc:creator>
  <cp:lastModifiedBy>Sheryl Kamath</cp:lastModifiedBy>
  <cp:revision>2</cp:revision>
  <dcterms:created xsi:type="dcterms:W3CDTF">2017-06-08T04:14:00Z</dcterms:created>
  <dcterms:modified xsi:type="dcterms:W3CDTF">2017-06-08T04:14:00Z</dcterms:modified>
</cp:coreProperties>
</file>