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4E" w:rsidRDefault="00031B4E" w:rsidP="00031B4E">
      <w:pPr>
        <w:rPr>
          <w:rFonts w:ascii="Arial" w:hAnsi="Arial" w:cs="Arial"/>
          <w:bCs/>
          <w:sz w:val="20"/>
          <w:szCs w:val="20"/>
        </w:rPr>
      </w:pPr>
    </w:p>
    <w:p w:rsidR="00031B4E" w:rsidRPr="00B718E6" w:rsidRDefault="00031B4E" w:rsidP="00031B4E">
      <w:pPr>
        <w:pStyle w:val="AHPRADocumenttitle"/>
        <w:ind w:right="1446"/>
        <w:rPr>
          <w:b/>
          <w:color w:val="C00000"/>
          <w:sz w:val="24"/>
          <w:szCs w:val="24"/>
        </w:rPr>
      </w:pPr>
      <w:bookmarkStart w:id="0" w:name="_Toc350172750"/>
      <w:r w:rsidRPr="0077213C">
        <w:rPr>
          <w:rFonts w:eastAsiaTheme="minorHAnsi"/>
          <w:b/>
          <w:color w:val="C00000"/>
          <w:sz w:val="24"/>
          <w:szCs w:val="24"/>
        </w:rPr>
        <w:t xml:space="preserve">Attachment </w:t>
      </w:r>
      <w:proofErr w:type="gramStart"/>
      <w:r w:rsidRPr="0077213C">
        <w:rPr>
          <w:rFonts w:eastAsiaTheme="minorHAnsi"/>
          <w:b/>
          <w:color w:val="C00000"/>
          <w:sz w:val="24"/>
          <w:szCs w:val="24"/>
        </w:rPr>
        <w:t>A</w:t>
      </w:r>
      <w:proofErr w:type="gramEnd"/>
      <w:r w:rsidRPr="0077213C">
        <w:rPr>
          <w:rFonts w:eastAsiaTheme="minorHAnsi"/>
          <w:b/>
          <w:color w:val="C00000"/>
          <w:sz w:val="24"/>
          <w:szCs w:val="24"/>
        </w:rPr>
        <w:t xml:space="preserve"> –</w:t>
      </w:r>
      <w:r>
        <w:rPr>
          <w:rFonts w:eastAsiaTheme="minorHAnsi"/>
          <w:b/>
          <w:color w:val="auto"/>
          <w:sz w:val="20"/>
          <w:szCs w:val="20"/>
        </w:rPr>
        <w:t xml:space="preserve"> </w:t>
      </w:r>
      <w:bookmarkStart w:id="1" w:name="OLE_LINK5"/>
      <w:bookmarkStart w:id="2" w:name="OLE_LINK3"/>
      <w:bookmarkStart w:id="3" w:name="OLE_LINK4"/>
      <w:r w:rsidRPr="00B718E6">
        <w:rPr>
          <w:b/>
          <w:color w:val="C00000"/>
          <w:sz w:val="24"/>
          <w:szCs w:val="24"/>
        </w:rPr>
        <w:t xml:space="preserve">Marked up </w:t>
      </w:r>
      <w:r w:rsidR="000507EF">
        <w:rPr>
          <w:b/>
          <w:color w:val="C00000"/>
          <w:sz w:val="24"/>
          <w:szCs w:val="24"/>
        </w:rPr>
        <w:t>copy</w:t>
      </w:r>
      <w:r w:rsidRPr="00B718E6">
        <w:rPr>
          <w:b/>
          <w:color w:val="C00000"/>
          <w:sz w:val="24"/>
          <w:szCs w:val="24"/>
        </w:rPr>
        <w:t xml:space="preserve"> to show changes from </w:t>
      </w:r>
      <w:r w:rsidR="00F932D1">
        <w:rPr>
          <w:b/>
          <w:color w:val="C00000"/>
          <w:sz w:val="24"/>
          <w:szCs w:val="24"/>
        </w:rPr>
        <w:t xml:space="preserve">standard which commenced </w:t>
      </w:r>
      <w:r w:rsidRPr="00B718E6">
        <w:rPr>
          <w:b/>
          <w:color w:val="C00000"/>
          <w:sz w:val="24"/>
          <w:szCs w:val="24"/>
        </w:rPr>
        <w:t xml:space="preserve">1 July 2010 to </w:t>
      </w:r>
      <w:r w:rsidR="00F932D1">
        <w:rPr>
          <w:b/>
          <w:color w:val="C00000"/>
          <w:sz w:val="24"/>
          <w:szCs w:val="24"/>
        </w:rPr>
        <w:t xml:space="preserve">revised standard effective </w:t>
      </w:r>
      <w:r>
        <w:rPr>
          <w:b/>
          <w:color w:val="C00000"/>
          <w:sz w:val="24"/>
          <w:szCs w:val="24"/>
        </w:rPr>
        <w:t>30 June</w:t>
      </w:r>
      <w:r w:rsidRPr="00B718E6">
        <w:rPr>
          <w:b/>
          <w:color w:val="C00000"/>
          <w:sz w:val="24"/>
          <w:szCs w:val="24"/>
        </w:rPr>
        <w:t xml:space="preserve"> 2014</w:t>
      </w:r>
      <w:r>
        <w:rPr>
          <w:b/>
          <w:color w:val="C00000"/>
          <w:sz w:val="24"/>
          <w:szCs w:val="24"/>
        </w:rPr>
        <w:t xml:space="preserve"> </w:t>
      </w:r>
      <w:bookmarkEnd w:id="2"/>
      <w:bookmarkEnd w:id="3"/>
      <w:r>
        <w:rPr>
          <w:b/>
          <w:color w:val="C00000"/>
          <w:sz w:val="24"/>
          <w:szCs w:val="24"/>
        </w:rPr>
        <w:t>(change highlighted in grey)</w:t>
      </w:r>
    </w:p>
    <w:bookmarkEnd w:id="1"/>
    <w:p w:rsidR="00031B4E" w:rsidRPr="00204F70" w:rsidRDefault="00031B4E" w:rsidP="00AD6E1D">
      <w:pPr>
        <w:pStyle w:val="AHPRAHeadline"/>
        <w:rPr>
          <w:lang w:val="en-US"/>
        </w:rPr>
      </w:pPr>
      <w:r w:rsidRPr="00204F70">
        <w:rPr>
          <w:lang w:val="en-US"/>
        </w:rPr>
        <w:t>Scope of practice registration standard</w:t>
      </w:r>
      <w:bookmarkEnd w:id="0"/>
      <w:r w:rsidRPr="00204F70">
        <w:rPr>
          <w:lang w:val="en-US"/>
        </w:rPr>
        <w:t xml:space="preserve">  </w:t>
      </w:r>
    </w:p>
    <w:p w:rsidR="00031B4E" w:rsidRDefault="0084547C" w:rsidP="00031B4E">
      <w:pPr>
        <w:pStyle w:val="AHPRAHeadline"/>
        <w:spacing w:after="0"/>
        <w:outlineLvl w:val="0"/>
        <w:rPr>
          <w:rFonts w:cs="Arial"/>
          <w:color w:val="000000"/>
          <w:sz w:val="20"/>
          <w:szCs w:val="20"/>
        </w:rPr>
      </w:pPr>
      <w:r w:rsidRPr="0084547C">
        <w:rPr>
          <w:noProof/>
          <w:lang w:eastAsia="en-A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72.9pt;margin-top:-.35pt;width:430.6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w4Hw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" adj="10799,-41860800,45"/>
        </w:pict>
      </w:r>
    </w:p>
    <w:p w:rsidR="00031B4E" w:rsidRDefault="00031B4E" w:rsidP="00031B4E">
      <w:pPr>
        <w:pStyle w:val="AHPRADocumentsubheading"/>
        <w:spacing w:after="0"/>
        <w:rPr>
          <w:rFonts w:eastAsiaTheme="minorHAnsi" w:cs="Times New Roman"/>
          <w:color w:val="008EC4"/>
          <w:sz w:val="32"/>
          <w:szCs w:val="32"/>
          <w:lang w:val="en-US"/>
        </w:rPr>
      </w:pPr>
    </w:p>
    <w:p w:rsidR="00031B4E" w:rsidRDefault="00031B4E" w:rsidP="00031B4E">
      <w:pPr>
        <w:pStyle w:val="AHPRATitle"/>
        <w:rPr>
          <w:i/>
          <w:sz w:val="32"/>
          <w:szCs w:val="32"/>
        </w:rPr>
      </w:pPr>
      <w:bookmarkStart w:id="4" w:name="_Toc350172752"/>
      <w:r w:rsidRPr="009D3653">
        <w:rPr>
          <w:sz w:val="32"/>
          <w:szCs w:val="32"/>
        </w:rPr>
        <w:t xml:space="preserve">Dental Board of Australia </w:t>
      </w:r>
      <w:r w:rsidRPr="009D3653">
        <w:rPr>
          <w:bCs/>
          <w:i/>
          <w:sz w:val="32"/>
          <w:szCs w:val="32"/>
        </w:rPr>
        <w:t>Scope of practice registration standard</w:t>
      </w:r>
      <w:bookmarkEnd w:id="4"/>
    </w:p>
    <w:p w:rsidR="00031B4E" w:rsidRPr="00423F39" w:rsidRDefault="00031B4E" w:rsidP="00031B4E">
      <w:pPr>
        <w:pStyle w:val="AHPRASubhead"/>
      </w:pPr>
      <w:r w:rsidRPr="00423F39">
        <w:t>Effective from:</w:t>
      </w:r>
      <w:r w:rsidRPr="00423F39">
        <w:tab/>
      </w:r>
      <w:r>
        <w:rPr>
          <w:b w:val="0"/>
          <w:color w:val="auto"/>
        </w:rPr>
        <w:t>30 June 2014</w:t>
      </w:r>
    </w:p>
    <w:p w:rsidR="00031B4E" w:rsidRPr="00423F39" w:rsidRDefault="00031B4E" w:rsidP="00031B4E">
      <w:pPr>
        <w:pStyle w:val="AHPRASubhead"/>
        <w:rPr>
          <w:b w:val="0"/>
          <w:color w:val="auto"/>
          <w:highlight w:val="yellow"/>
        </w:rPr>
      </w:pPr>
      <w:r w:rsidRPr="00423F39">
        <w:t>Review date:</w:t>
      </w:r>
      <w:r w:rsidRPr="00423F39">
        <w:tab/>
      </w:r>
      <w:r>
        <w:rPr>
          <w:b w:val="0"/>
          <w:color w:val="auto"/>
        </w:rPr>
        <w:t>30 June 2017</w:t>
      </w:r>
    </w:p>
    <w:p w:rsidR="00031B4E" w:rsidRPr="00D64671" w:rsidRDefault="00031B4E" w:rsidP="00031B4E">
      <w:pPr>
        <w:autoSpaceDE w:val="0"/>
        <w:autoSpaceDN w:val="0"/>
        <w:adjustRightInd w:val="0"/>
        <w:spacing w:after="0" w:line="240" w:lineRule="auto"/>
        <w:rPr>
          <w:rFonts w:ascii="Arial" w:hAnsi="Arial" w:cs="Arial"/>
          <w:sz w:val="20"/>
          <w:szCs w:val="20"/>
        </w:rPr>
      </w:pPr>
    </w:p>
    <w:p w:rsidR="00031B4E" w:rsidRPr="00D64671" w:rsidRDefault="00031B4E" w:rsidP="00031B4E">
      <w:pPr>
        <w:autoSpaceDE w:val="0"/>
        <w:autoSpaceDN w:val="0"/>
        <w:adjustRightInd w:val="0"/>
        <w:spacing w:after="0" w:line="240" w:lineRule="auto"/>
        <w:rPr>
          <w:rFonts w:ascii="Arial" w:hAnsi="Arial" w:cs="Arial"/>
          <w:sz w:val="20"/>
          <w:szCs w:val="20"/>
        </w:rPr>
      </w:pPr>
      <w:r>
        <w:rPr>
          <w:rFonts w:ascii="Arial" w:hAnsi="Arial" w:cs="Arial"/>
          <w:sz w:val="20"/>
          <w:szCs w:val="20"/>
        </w:rPr>
        <w:t>This registration standard sets out the National Board’s requirements for the scope of practice for dental practitioners.</w:t>
      </w:r>
    </w:p>
    <w:p w:rsidR="00031B4E" w:rsidRPr="00D64671" w:rsidRDefault="00031B4E" w:rsidP="00031B4E">
      <w:pPr>
        <w:autoSpaceDE w:val="0"/>
        <w:autoSpaceDN w:val="0"/>
        <w:adjustRightInd w:val="0"/>
        <w:spacing w:after="0" w:line="240" w:lineRule="auto"/>
        <w:rPr>
          <w:rFonts w:ascii="Arial" w:hAnsi="Arial" w:cs="Arial"/>
          <w:b/>
          <w:bCs/>
          <w:sz w:val="20"/>
          <w:szCs w:val="20"/>
        </w:rPr>
      </w:pPr>
    </w:p>
    <w:p w:rsidR="00031B4E" w:rsidRDefault="00031B4E" w:rsidP="00031B4E">
      <w:pPr>
        <w:pStyle w:val="AHPRASubhead"/>
      </w:pPr>
      <w:r>
        <w:t>Does this standard apply to me?</w:t>
      </w:r>
    </w:p>
    <w:p w:rsidR="00031B4E" w:rsidRPr="00D64671" w:rsidRDefault="00031B4E" w:rsidP="00031B4E">
      <w:pPr>
        <w:autoSpaceDE w:val="0"/>
        <w:autoSpaceDN w:val="0"/>
        <w:adjustRightInd w:val="0"/>
        <w:spacing w:after="0" w:line="240" w:lineRule="auto"/>
        <w:rPr>
          <w:rFonts w:ascii="Arial" w:hAnsi="Arial" w:cs="Arial"/>
          <w:sz w:val="20"/>
          <w:szCs w:val="20"/>
        </w:rPr>
      </w:pPr>
      <w:r w:rsidRPr="009D3653">
        <w:rPr>
          <w:rFonts w:ascii="Arial" w:hAnsi="Arial" w:cs="Arial"/>
          <w:sz w:val="20"/>
          <w:szCs w:val="20"/>
        </w:rPr>
        <w:t xml:space="preserve">This </w:t>
      </w:r>
      <w:r>
        <w:rPr>
          <w:rFonts w:ascii="Arial" w:hAnsi="Arial" w:cs="Arial"/>
          <w:sz w:val="20"/>
          <w:szCs w:val="20"/>
        </w:rPr>
        <w:t xml:space="preserve">registration </w:t>
      </w:r>
      <w:r w:rsidRPr="009D3653">
        <w:rPr>
          <w:rFonts w:ascii="Arial" w:hAnsi="Arial" w:cs="Arial"/>
          <w:sz w:val="20"/>
          <w:szCs w:val="20"/>
        </w:rPr>
        <w:t>standard applies to all registered dental practitioners</w:t>
      </w:r>
      <w:r>
        <w:rPr>
          <w:rFonts w:ascii="Arial" w:hAnsi="Arial" w:cs="Arial"/>
          <w:sz w:val="20"/>
          <w:szCs w:val="20"/>
        </w:rPr>
        <w:t xml:space="preserve"> except those with student or non-practising registration</w:t>
      </w:r>
      <w:r w:rsidRPr="009D3653">
        <w:rPr>
          <w:rFonts w:ascii="Arial" w:hAnsi="Arial" w:cs="Arial"/>
          <w:sz w:val="20"/>
          <w:szCs w:val="20"/>
        </w:rPr>
        <w:t>.</w:t>
      </w:r>
    </w:p>
    <w:p w:rsidR="00031B4E" w:rsidRPr="00D64671" w:rsidRDefault="00031B4E" w:rsidP="00031B4E">
      <w:pPr>
        <w:autoSpaceDE w:val="0"/>
        <w:autoSpaceDN w:val="0"/>
        <w:adjustRightInd w:val="0"/>
        <w:spacing w:after="0" w:line="240" w:lineRule="auto"/>
        <w:rPr>
          <w:rFonts w:ascii="Arial" w:hAnsi="Arial" w:cs="Arial"/>
          <w:sz w:val="20"/>
          <w:szCs w:val="20"/>
        </w:rPr>
      </w:pPr>
    </w:p>
    <w:p w:rsidR="00031B4E" w:rsidRPr="00D174A4" w:rsidRDefault="00031B4E" w:rsidP="00031B4E">
      <w:pPr>
        <w:pStyle w:val="AHPRASubhead"/>
        <w:rPr>
          <w:rFonts w:cs="Arial"/>
          <w:szCs w:val="20"/>
        </w:rPr>
      </w:pPr>
      <w:r>
        <w:t>What must I do?</w:t>
      </w:r>
    </w:p>
    <w:p w:rsidR="00031B4E" w:rsidRPr="0077213C" w:rsidRDefault="00031B4E" w:rsidP="00031B4E">
      <w:pPr>
        <w:pStyle w:val="ListParagraph"/>
        <w:numPr>
          <w:ilvl w:val="0"/>
          <w:numId w:val="2"/>
        </w:numPr>
        <w:autoSpaceDE w:val="0"/>
        <w:autoSpaceDN w:val="0"/>
        <w:adjustRightInd w:val="0"/>
        <w:spacing w:before="120" w:after="0" w:line="240" w:lineRule="auto"/>
        <w:ind w:hanging="357"/>
        <w:contextualSpacing w:val="0"/>
        <w:rPr>
          <w:szCs w:val="20"/>
          <w:highlight w:val="lightGray"/>
        </w:rPr>
      </w:pPr>
      <w:r w:rsidRPr="0077213C">
        <w:rPr>
          <w:szCs w:val="20"/>
          <w:highlight w:val="lightGray"/>
        </w:rPr>
        <w:t>All dental practitioners are members of the dental team who exercise autonomous decision making within their particular areas of education, training and competence, to provide the best possible care for their patients.</w:t>
      </w:r>
    </w:p>
    <w:p w:rsidR="00031B4E" w:rsidRDefault="00031B4E" w:rsidP="00031B4E">
      <w:pPr>
        <w:pStyle w:val="ListParagraph"/>
        <w:numPr>
          <w:ilvl w:val="0"/>
          <w:numId w:val="2"/>
        </w:numPr>
        <w:autoSpaceDE w:val="0"/>
        <w:autoSpaceDN w:val="0"/>
        <w:adjustRightInd w:val="0"/>
        <w:spacing w:before="120" w:after="0" w:line="240" w:lineRule="auto"/>
        <w:ind w:hanging="357"/>
        <w:contextualSpacing w:val="0"/>
        <w:rPr>
          <w:szCs w:val="20"/>
        </w:rPr>
      </w:pPr>
      <w:r w:rsidRPr="009D3653">
        <w:rPr>
          <w:szCs w:val="20"/>
        </w:rPr>
        <w:t>Dental practitioners must only perform dental treatment:</w:t>
      </w:r>
    </w:p>
    <w:p w:rsidR="00031B4E" w:rsidRDefault="00031B4E" w:rsidP="00031B4E">
      <w:pPr>
        <w:pStyle w:val="ListParagraph"/>
        <w:numPr>
          <w:ilvl w:val="0"/>
          <w:numId w:val="1"/>
        </w:numPr>
        <w:autoSpaceDE w:val="0"/>
        <w:autoSpaceDN w:val="0"/>
        <w:adjustRightInd w:val="0"/>
        <w:spacing w:before="120" w:after="0" w:line="240" w:lineRule="auto"/>
        <w:ind w:hanging="357"/>
        <w:contextualSpacing w:val="0"/>
        <w:rPr>
          <w:szCs w:val="20"/>
        </w:rPr>
      </w:pPr>
      <w:r w:rsidRPr="009D3653">
        <w:rPr>
          <w:szCs w:val="20"/>
        </w:rPr>
        <w:t xml:space="preserve">for which they have been educated and trained in programs of study approved by the </w:t>
      </w:r>
      <w:r>
        <w:rPr>
          <w:szCs w:val="20"/>
        </w:rPr>
        <w:t xml:space="preserve">National </w:t>
      </w:r>
      <w:r w:rsidRPr="009D3653">
        <w:rPr>
          <w:szCs w:val="20"/>
        </w:rPr>
        <w:t>Board</w:t>
      </w:r>
      <w:r>
        <w:rPr>
          <w:szCs w:val="20"/>
        </w:rPr>
        <w:t>,</w:t>
      </w:r>
      <w:r w:rsidRPr="009D3653">
        <w:rPr>
          <w:szCs w:val="20"/>
        </w:rPr>
        <w:t xml:space="preserve"> and</w:t>
      </w:r>
    </w:p>
    <w:p w:rsidR="00031B4E" w:rsidRDefault="00031B4E" w:rsidP="00031B4E">
      <w:pPr>
        <w:pStyle w:val="ListParagraph"/>
        <w:numPr>
          <w:ilvl w:val="0"/>
          <w:numId w:val="1"/>
        </w:numPr>
        <w:autoSpaceDE w:val="0"/>
        <w:autoSpaceDN w:val="0"/>
        <w:adjustRightInd w:val="0"/>
        <w:spacing w:before="120" w:after="0" w:line="240" w:lineRule="auto"/>
        <w:ind w:hanging="357"/>
        <w:contextualSpacing w:val="0"/>
        <w:rPr>
          <w:szCs w:val="20"/>
        </w:rPr>
      </w:pPr>
      <w:proofErr w:type="gramStart"/>
      <w:r w:rsidRPr="009D3653">
        <w:rPr>
          <w:szCs w:val="20"/>
        </w:rPr>
        <w:t>in</w:t>
      </w:r>
      <w:proofErr w:type="gramEnd"/>
      <w:r w:rsidRPr="009D3653">
        <w:rPr>
          <w:szCs w:val="20"/>
        </w:rPr>
        <w:t xml:space="preserve"> which they are competent.</w:t>
      </w:r>
    </w:p>
    <w:p w:rsidR="00031B4E" w:rsidRPr="001857B3" w:rsidRDefault="00031B4E" w:rsidP="00031B4E">
      <w:pPr>
        <w:pStyle w:val="ListParagraph"/>
        <w:numPr>
          <w:ilvl w:val="0"/>
          <w:numId w:val="2"/>
        </w:numPr>
        <w:autoSpaceDE w:val="0"/>
        <w:autoSpaceDN w:val="0"/>
        <w:adjustRightInd w:val="0"/>
        <w:spacing w:before="120" w:after="0" w:line="240" w:lineRule="auto"/>
        <w:ind w:hanging="357"/>
        <w:contextualSpacing w:val="0"/>
        <w:rPr>
          <w:szCs w:val="20"/>
        </w:rPr>
      </w:pPr>
      <w:r w:rsidRPr="009231C3">
        <w:rPr>
          <w:szCs w:val="20"/>
        </w:rPr>
        <w:t>Dentists</w:t>
      </w:r>
      <w:r>
        <w:rPr>
          <w:rStyle w:val="FootnoteReference"/>
          <w:szCs w:val="20"/>
        </w:rPr>
        <w:footnoteReference w:id="1"/>
      </w:r>
      <w:r w:rsidRPr="009231C3">
        <w:rPr>
          <w:szCs w:val="20"/>
        </w:rPr>
        <w:t xml:space="preserve"> </w:t>
      </w:r>
      <w:r>
        <w:rPr>
          <w:szCs w:val="20"/>
        </w:rPr>
        <w:t>are</w:t>
      </w:r>
      <w:r w:rsidRPr="009231C3">
        <w:rPr>
          <w:szCs w:val="20"/>
        </w:rPr>
        <w:t xml:space="preserve"> independent practitioners who may practise all parts of dentistry </w:t>
      </w:r>
      <w:r w:rsidRPr="00224553">
        <w:rPr>
          <w:szCs w:val="20"/>
          <w:highlight w:val="lightGray"/>
        </w:rPr>
        <w:t>included in the definition of dentistry</w:t>
      </w:r>
      <w:r w:rsidRPr="00224553">
        <w:rPr>
          <w:rStyle w:val="FootnoteReference"/>
          <w:szCs w:val="20"/>
          <w:highlight w:val="lightGray"/>
        </w:rPr>
        <w:footnoteReference w:id="2"/>
      </w:r>
      <w:r w:rsidRPr="00224553">
        <w:rPr>
          <w:szCs w:val="20"/>
          <w:highlight w:val="lightGray"/>
        </w:rPr>
        <w:t>. Where there is a structured professional relationship or referral relationship then the dentist is the clinical team leader.</w:t>
      </w:r>
    </w:p>
    <w:p w:rsidR="00031B4E" w:rsidRDefault="00031B4E" w:rsidP="00031B4E">
      <w:pPr>
        <w:pStyle w:val="ListParagraph"/>
        <w:numPr>
          <w:ilvl w:val="0"/>
          <w:numId w:val="2"/>
        </w:numPr>
        <w:autoSpaceDE w:val="0"/>
        <w:autoSpaceDN w:val="0"/>
        <w:adjustRightInd w:val="0"/>
        <w:spacing w:before="120" w:after="0" w:line="240" w:lineRule="auto"/>
        <w:contextualSpacing w:val="0"/>
        <w:rPr>
          <w:szCs w:val="20"/>
        </w:rPr>
      </w:pPr>
      <w:r w:rsidRPr="0077213C">
        <w:rPr>
          <w:szCs w:val="20"/>
          <w:highlight w:val="lightGray"/>
        </w:rPr>
        <w:t>Dental prosthetists are members of the dental team</w:t>
      </w:r>
      <w:r w:rsidRPr="009D3653">
        <w:rPr>
          <w:szCs w:val="20"/>
        </w:rPr>
        <w:t xml:space="preserve">. They </w:t>
      </w:r>
      <w:r>
        <w:rPr>
          <w:szCs w:val="20"/>
        </w:rPr>
        <w:t>work</w:t>
      </w:r>
      <w:r w:rsidRPr="009D3653">
        <w:rPr>
          <w:szCs w:val="20"/>
        </w:rPr>
        <w:t xml:space="preserve"> as independent practitioners </w:t>
      </w:r>
      <w:r w:rsidRPr="00224553">
        <w:rPr>
          <w:szCs w:val="20"/>
          <w:highlight w:val="lightGray"/>
        </w:rPr>
        <w:t>in a range of activities included in the definition of dentistry</w:t>
      </w:r>
      <w:r w:rsidRPr="009D3653">
        <w:rPr>
          <w:szCs w:val="20"/>
        </w:rPr>
        <w:t>.</w:t>
      </w:r>
    </w:p>
    <w:p w:rsidR="00031B4E" w:rsidRDefault="00031B4E" w:rsidP="00031B4E">
      <w:pPr>
        <w:pStyle w:val="ListParagraph"/>
        <w:numPr>
          <w:ilvl w:val="0"/>
          <w:numId w:val="2"/>
        </w:numPr>
        <w:autoSpaceDE w:val="0"/>
        <w:autoSpaceDN w:val="0"/>
        <w:adjustRightInd w:val="0"/>
        <w:spacing w:before="120" w:after="0" w:line="240" w:lineRule="auto"/>
        <w:contextualSpacing w:val="0"/>
        <w:rPr>
          <w:szCs w:val="20"/>
        </w:rPr>
      </w:pPr>
      <w:r w:rsidRPr="00224553">
        <w:rPr>
          <w:szCs w:val="20"/>
          <w:highlight w:val="lightGray"/>
        </w:rPr>
        <w:t>Dental hygienists, dental therapists and oral health therapists are members of the dental team.  They practise in a range of activities included in the definition of dentistry. They may only practice within a structured professional relationship with a dentist.</w:t>
      </w:r>
      <w:r w:rsidRPr="009D3653">
        <w:rPr>
          <w:szCs w:val="20"/>
        </w:rPr>
        <w:t xml:space="preserve"> They must not practise as independent practitioners. </w:t>
      </w:r>
    </w:p>
    <w:p w:rsidR="00031B4E" w:rsidRPr="008439C9" w:rsidRDefault="00031B4E" w:rsidP="00031B4E">
      <w:pPr>
        <w:pStyle w:val="ListParagraph"/>
        <w:numPr>
          <w:ilvl w:val="0"/>
          <w:numId w:val="2"/>
        </w:numPr>
        <w:autoSpaceDE w:val="0"/>
        <w:autoSpaceDN w:val="0"/>
        <w:adjustRightInd w:val="0"/>
        <w:spacing w:before="120" w:after="0" w:line="240" w:lineRule="auto"/>
        <w:contextualSpacing w:val="0"/>
        <w:rPr>
          <w:szCs w:val="20"/>
        </w:rPr>
      </w:pPr>
      <w:r w:rsidRPr="008439C9">
        <w:rPr>
          <w:szCs w:val="20"/>
        </w:rPr>
        <w:t>A dental practitioner must not direct any person whether a registered dental practitioner or not to undertake dental treatment or give advi</w:t>
      </w:r>
      <w:r>
        <w:rPr>
          <w:szCs w:val="20"/>
        </w:rPr>
        <w:t>c</w:t>
      </w:r>
      <w:r w:rsidRPr="008439C9">
        <w:rPr>
          <w:szCs w:val="20"/>
        </w:rPr>
        <w:t>e outside that person’s education or competence.</w:t>
      </w:r>
    </w:p>
    <w:p w:rsidR="00031B4E" w:rsidRDefault="00031B4E" w:rsidP="00031B4E">
      <w:pPr>
        <w:autoSpaceDE w:val="0"/>
        <w:autoSpaceDN w:val="0"/>
        <w:adjustRightInd w:val="0"/>
        <w:spacing w:before="120" w:after="0" w:line="240" w:lineRule="auto"/>
        <w:rPr>
          <w:rFonts w:ascii="Arial" w:hAnsi="Arial" w:cs="Arial"/>
          <w:sz w:val="20"/>
          <w:szCs w:val="20"/>
        </w:rPr>
      </w:pPr>
    </w:p>
    <w:p w:rsidR="00031B4E" w:rsidRDefault="00031B4E" w:rsidP="00031B4E">
      <w:pPr>
        <w:pStyle w:val="AHPRASubhead"/>
      </w:pPr>
      <w:r>
        <w:t>Guidelines – Scope of practice registration standard</w:t>
      </w:r>
    </w:p>
    <w:p w:rsidR="00031B4E" w:rsidRDefault="00031B4E" w:rsidP="00031B4E">
      <w:pPr>
        <w:autoSpaceDE w:val="0"/>
        <w:autoSpaceDN w:val="0"/>
        <w:adjustRightInd w:val="0"/>
        <w:spacing w:before="120" w:after="0" w:line="240" w:lineRule="auto"/>
        <w:rPr>
          <w:rFonts w:ascii="Arial" w:hAnsi="Arial" w:cs="Arial"/>
          <w:sz w:val="20"/>
          <w:szCs w:val="20"/>
        </w:rPr>
      </w:pPr>
      <w:r w:rsidRPr="00224553">
        <w:rPr>
          <w:rFonts w:ascii="Arial" w:hAnsi="Arial" w:cs="Arial"/>
          <w:sz w:val="20"/>
          <w:szCs w:val="20"/>
          <w:highlight w:val="lightGray"/>
        </w:rPr>
        <w:t xml:space="preserve">The </w:t>
      </w:r>
      <w:r w:rsidRPr="00224553">
        <w:rPr>
          <w:rFonts w:ascii="Arial" w:hAnsi="Arial" w:cs="Arial"/>
          <w:i/>
          <w:sz w:val="20"/>
          <w:szCs w:val="20"/>
          <w:highlight w:val="lightGray"/>
        </w:rPr>
        <w:t>Guidelines – Scope of practice registration standard</w:t>
      </w:r>
      <w:r w:rsidRPr="00224553">
        <w:rPr>
          <w:rFonts w:ascii="Arial" w:hAnsi="Arial" w:cs="Arial"/>
          <w:sz w:val="20"/>
          <w:szCs w:val="20"/>
          <w:highlight w:val="lightGray"/>
        </w:rPr>
        <w:t xml:space="preserve"> provide guidance about the expectations and how to meet the requirements of the registration standard. Dental practitioners are expected to understand how to apply these guidelines together with the registration standard.</w:t>
      </w:r>
    </w:p>
    <w:p w:rsidR="00031B4E" w:rsidRDefault="00031B4E" w:rsidP="00031B4E">
      <w:pPr>
        <w:pStyle w:val="AHPRASubhead"/>
      </w:pPr>
    </w:p>
    <w:p w:rsidR="00031B4E" w:rsidRDefault="00031B4E" w:rsidP="00031B4E">
      <w:pPr>
        <w:pStyle w:val="AHPRASubhead"/>
      </w:pPr>
      <w:r>
        <w:t>What happens if I don’t meet this standard?</w:t>
      </w:r>
    </w:p>
    <w:p w:rsidR="00031B4E" w:rsidRDefault="00031B4E" w:rsidP="00031B4E">
      <w:pPr>
        <w:autoSpaceDE w:val="0"/>
        <w:autoSpaceDN w:val="0"/>
        <w:adjustRightInd w:val="0"/>
        <w:spacing w:before="120" w:after="0" w:line="240" w:lineRule="auto"/>
        <w:rPr>
          <w:rFonts w:ascii="Arial" w:hAnsi="Arial" w:cs="Arial"/>
          <w:sz w:val="20"/>
          <w:szCs w:val="20"/>
        </w:rPr>
      </w:pPr>
      <w:r>
        <w:rPr>
          <w:rFonts w:ascii="Arial" w:hAnsi="Arial" w:cs="Arial"/>
          <w:sz w:val="20"/>
          <w:szCs w:val="20"/>
        </w:rPr>
        <w:t>The National Law establishes possible consequences if you don’t meet this standard, including that:</w:t>
      </w:r>
    </w:p>
    <w:p w:rsidR="00031B4E" w:rsidRDefault="00031B4E" w:rsidP="00031B4E">
      <w:pPr>
        <w:pStyle w:val="ListParagraph"/>
        <w:numPr>
          <w:ilvl w:val="0"/>
          <w:numId w:val="3"/>
        </w:numPr>
        <w:autoSpaceDE w:val="0"/>
        <w:autoSpaceDN w:val="0"/>
        <w:adjustRightInd w:val="0"/>
        <w:spacing w:before="120" w:after="0" w:line="240" w:lineRule="auto"/>
        <w:rPr>
          <w:szCs w:val="20"/>
        </w:rPr>
      </w:pPr>
      <w:r>
        <w:rPr>
          <w:szCs w:val="20"/>
        </w:rPr>
        <w:t>Registration standards, codes or guidelines may be used in disciplinary proceedings against health practitioners as evidence of what constitutes appropriate practice or conduct for the health profession (section 41 of the National Law).</w:t>
      </w:r>
    </w:p>
    <w:p w:rsidR="00031B4E" w:rsidRDefault="00031B4E" w:rsidP="00031B4E">
      <w:pPr>
        <w:pStyle w:val="ListParagraph"/>
        <w:autoSpaceDE w:val="0"/>
        <w:autoSpaceDN w:val="0"/>
        <w:adjustRightInd w:val="0"/>
        <w:spacing w:before="120" w:after="0" w:line="240" w:lineRule="auto"/>
        <w:rPr>
          <w:szCs w:val="20"/>
        </w:rPr>
      </w:pPr>
    </w:p>
    <w:p w:rsidR="00031B4E" w:rsidRDefault="00031B4E" w:rsidP="00031B4E">
      <w:pPr>
        <w:pStyle w:val="AHPRASubhead"/>
      </w:pPr>
      <w:r w:rsidRPr="00D64671">
        <w:t>Authority</w:t>
      </w:r>
    </w:p>
    <w:p w:rsidR="00031B4E" w:rsidRDefault="00031B4E" w:rsidP="00031B4E">
      <w:pPr>
        <w:pStyle w:val="ListParagraph"/>
        <w:autoSpaceDE w:val="0"/>
        <w:autoSpaceDN w:val="0"/>
        <w:adjustRightInd w:val="0"/>
        <w:spacing w:before="120" w:after="0" w:line="240" w:lineRule="auto"/>
        <w:ind w:left="0"/>
        <w:rPr>
          <w:szCs w:val="20"/>
        </w:rPr>
      </w:pPr>
      <w:r w:rsidRPr="009D3653">
        <w:rPr>
          <w:szCs w:val="20"/>
        </w:rPr>
        <w:t>This</w:t>
      </w:r>
      <w:r>
        <w:rPr>
          <w:szCs w:val="20"/>
        </w:rPr>
        <w:t xml:space="preserve"> registration standard was approved by </w:t>
      </w:r>
      <w:r w:rsidRPr="009D3653">
        <w:rPr>
          <w:szCs w:val="20"/>
        </w:rPr>
        <w:t>Australian Health Workforce Ministerial Council on</w:t>
      </w:r>
      <w:r>
        <w:rPr>
          <w:szCs w:val="20"/>
        </w:rPr>
        <w:t xml:space="preserve"> 11 April 2014</w:t>
      </w:r>
      <w:r w:rsidRPr="009D3653">
        <w:rPr>
          <w:szCs w:val="20"/>
        </w:rPr>
        <w:t>.</w:t>
      </w:r>
    </w:p>
    <w:p w:rsidR="00031B4E" w:rsidRDefault="00031B4E" w:rsidP="00031B4E">
      <w:pPr>
        <w:pStyle w:val="ListParagraph"/>
        <w:autoSpaceDE w:val="0"/>
        <w:autoSpaceDN w:val="0"/>
        <w:adjustRightInd w:val="0"/>
        <w:spacing w:before="120" w:after="0" w:line="240" w:lineRule="auto"/>
        <w:ind w:left="0"/>
        <w:rPr>
          <w:szCs w:val="20"/>
        </w:rPr>
      </w:pPr>
    </w:p>
    <w:p w:rsidR="00031B4E" w:rsidRDefault="00031B4E" w:rsidP="00031B4E">
      <w:pPr>
        <w:pStyle w:val="ListParagraph"/>
        <w:autoSpaceDE w:val="0"/>
        <w:autoSpaceDN w:val="0"/>
        <w:adjustRightInd w:val="0"/>
        <w:spacing w:before="120" w:after="0" w:line="240" w:lineRule="auto"/>
        <w:ind w:left="0"/>
        <w:rPr>
          <w:szCs w:val="20"/>
        </w:rPr>
      </w:pPr>
      <w:r>
        <w:rPr>
          <w:szCs w:val="20"/>
        </w:rPr>
        <w:t>Registration standards are developed under section 38 of the National Law and are subject to wide ranging consultation.</w:t>
      </w:r>
    </w:p>
    <w:p w:rsidR="00031B4E" w:rsidRDefault="00031B4E" w:rsidP="00031B4E">
      <w:pPr>
        <w:pStyle w:val="ListParagraph"/>
        <w:autoSpaceDE w:val="0"/>
        <w:autoSpaceDN w:val="0"/>
        <w:adjustRightInd w:val="0"/>
        <w:spacing w:before="120" w:after="0" w:line="240" w:lineRule="auto"/>
        <w:rPr>
          <w:szCs w:val="20"/>
        </w:rPr>
      </w:pPr>
    </w:p>
    <w:p w:rsidR="00031B4E" w:rsidRDefault="00031B4E" w:rsidP="00031B4E">
      <w:pPr>
        <w:pStyle w:val="AHPRASubhead"/>
      </w:pPr>
      <w:r w:rsidRPr="00D64671">
        <w:t>Definitions</w:t>
      </w:r>
    </w:p>
    <w:p w:rsidR="00031B4E" w:rsidRPr="00655DB0" w:rsidRDefault="00031B4E" w:rsidP="00031B4E">
      <w:pPr>
        <w:autoSpaceDE w:val="0"/>
        <w:autoSpaceDN w:val="0"/>
        <w:adjustRightInd w:val="0"/>
        <w:spacing w:after="0" w:line="240" w:lineRule="auto"/>
        <w:rPr>
          <w:rFonts w:ascii="Arial" w:hAnsi="Arial" w:cs="Arial"/>
          <w:sz w:val="20"/>
          <w:szCs w:val="20"/>
        </w:rPr>
      </w:pPr>
      <w:r w:rsidRPr="00224553">
        <w:rPr>
          <w:rFonts w:ascii="Arial" w:hAnsi="Arial" w:cs="Arial"/>
          <w:b/>
          <w:sz w:val="20"/>
          <w:szCs w:val="20"/>
          <w:highlight w:val="lightGray"/>
        </w:rPr>
        <w:t>Definition of dentistry</w:t>
      </w:r>
      <w:r w:rsidRPr="00224553">
        <w:rPr>
          <w:rFonts w:ascii="Arial" w:hAnsi="Arial" w:cs="Arial"/>
          <w:sz w:val="20"/>
          <w:szCs w:val="20"/>
          <w:highlight w:val="lightGray"/>
        </w:rPr>
        <w:t xml:space="preserve"> and practitioner descriptions are included in the </w:t>
      </w:r>
      <w:r w:rsidRPr="00224553">
        <w:rPr>
          <w:rFonts w:ascii="Arial" w:hAnsi="Arial" w:cs="Arial"/>
          <w:i/>
          <w:sz w:val="20"/>
          <w:szCs w:val="20"/>
          <w:highlight w:val="lightGray"/>
        </w:rPr>
        <w:t xml:space="preserve">Guidelines – Scope of practice registration standard. </w:t>
      </w:r>
      <w:r w:rsidRPr="00224553">
        <w:rPr>
          <w:rFonts w:ascii="Arial" w:hAnsi="Arial" w:cs="Arial"/>
          <w:sz w:val="20"/>
          <w:szCs w:val="20"/>
          <w:highlight w:val="lightGray"/>
        </w:rPr>
        <w:t>Restricted dental acts (section 121 of the National Law) also apply to this definition.</w:t>
      </w:r>
    </w:p>
    <w:p w:rsidR="00031B4E" w:rsidRDefault="00031B4E" w:rsidP="00031B4E">
      <w:pPr>
        <w:autoSpaceDE w:val="0"/>
        <w:autoSpaceDN w:val="0"/>
        <w:adjustRightInd w:val="0"/>
        <w:spacing w:after="0" w:line="240" w:lineRule="auto"/>
        <w:rPr>
          <w:rFonts w:ascii="Arial" w:hAnsi="Arial" w:cs="Arial"/>
          <w:b/>
          <w:bCs/>
          <w:sz w:val="20"/>
          <w:szCs w:val="20"/>
        </w:rPr>
      </w:pPr>
    </w:p>
    <w:p w:rsidR="00031B4E" w:rsidRDefault="00031B4E" w:rsidP="00031B4E">
      <w:pPr>
        <w:autoSpaceDE w:val="0"/>
        <w:autoSpaceDN w:val="0"/>
        <w:adjustRightInd w:val="0"/>
        <w:spacing w:after="0" w:line="240" w:lineRule="auto"/>
        <w:rPr>
          <w:rFonts w:ascii="Arial" w:hAnsi="Arial" w:cs="Arial"/>
          <w:sz w:val="20"/>
          <w:szCs w:val="20"/>
        </w:rPr>
      </w:pPr>
      <w:r w:rsidRPr="00224553">
        <w:rPr>
          <w:rFonts w:ascii="Arial" w:hAnsi="Arial" w:cs="Arial"/>
          <w:b/>
          <w:bCs/>
          <w:sz w:val="20"/>
          <w:szCs w:val="20"/>
          <w:highlight w:val="lightGray"/>
        </w:rPr>
        <w:t>Independent practitioner</w:t>
      </w:r>
      <w:r w:rsidRPr="00224553">
        <w:rPr>
          <w:rFonts w:ascii="Arial" w:hAnsi="Arial" w:cs="Arial"/>
          <w:bCs/>
          <w:i/>
          <w:sz w:val="20"/>
          <w:szCs w:val="20"/>
          <w:highlight w:val="lightGray"/>
        </w:rPr>
        <w:t xml:space="preserve"> </w:t>
      </w:r>
      <w:r w:rsidRPr="00224553">
        <w:rPr>
          <w:rFonts w:ascii="Arial" w:hAnsi="Arial" w:cs="Arial"/>
          <w:sz w:val="20"/>
          <w:szCs w:val="20"/>
          <w:highlight w:val="lightGray"/>
        </w:rPr>
        <w:t>means a practitioner who may practise without a structured professional relationship.</w:t>
      </w:r>
    </w:p>
    <w:p w:rsidR="00031B4E" w:rsidRDefault="00031B4E" w:rsidP="00031B4E">
      <w:pPr>
        <w:autoSpaceDE w:val="0"/>
        <w:autoSpaceDN w:val="0"/>
        <w:adjustRightInd w:val="0"/>
        <w:spacing w:after="0" w:line="240" w:lineRule="auto"/>
        <w:rPr>
          <w:rFonts w:ascii="Arial" w:hAnsi="Arial" w:cs="Arial"/>
          <w:sz w:val="20"/>
          <w:szCs w:val="20"/>
        </w:rPr>
      </w:pPr>
    </w:p>
    <w:p w:rsidR="00031B4E" w:rsidRPr="00386043" w:rsidRDefault="00031B4E" w:rsidP="00031B4E">
      <w:pPr>
        <w:autoSpaceDE w:val="0"/>
        <w:autoSpaceDN w:val="0"/>
        <w:adjustRightInd w:val="0"/>
        <w:spacing w:after="0" w:line="240" w:lineRule="auto"/>
        <w:rPr>
          <w:rFonts w:ascii="Arial" w:hAnsi="Arial" w:cs="Arial"/>
          <w:sz w:val="20"/>
          <w:szCs w:val="20"/>
        </w:rPr>
      </w:pPr>
      <w:r>
        <w:rPr>
          <w:rFonts w:ascii="Arial" w:hAnsi="Arial" w:cs="Arial"/>
          <w:b/>
          <w:sz w:val="20"/>
          <w:szCs w:val="20"/>
        </w:rPr>
        <w:t>National Law</w:t>
      </w:r>
      <w:r>
        <w:rPr>
          <w:rFonts w:ascii="Arial" w:hAnsi="Arial" w:cs="Arial"/>
          <w:sz w:val="20"/>
          <w:szCs w:val="20"/>
        </w:rPr>
        <w:t xml:space="preserve"> means the Health Practitioner Regulation National Law as in force in each state and territory.</w:t>
      </w:r>
    </w:p>
    <w:p w:rsidR="00031B4E" w:rsidRPr="00EC64CC" w:rsidRDefault="00031B4E" w:rsidP="00031B4E">
      <w:pPr>
        <w:autoSpaceDE w:val="0"/>
        <w:autoSpaceDN w:val="0"/>
        <w:adjustRightInd w:val="0"/>
        <w:spacing w:after="0" w:line="240" w:lineRule="auto"/>
        <w:rPr>
          <w:rFonts w:ascii="Arial" w:hAnsi="Arial" w:cs="Arial"/>
          <w:i/>
          <w:sz w:val="20"/>
          <w:szCs w:val="20"/>
        </w:rPr>
      </w:pPr>
    </w:p>
    <w:p w:rsidR="00031B4E" w:rsidRPr="00224553" w:rsidRDefault="00031B4E" w:rsidP="00031B4E">
      <w:pPr>
        <w:pStyle w:val="AHPRAbody"/>
        <w:rPr>
          <w:highlight w:val="lightGray"/>
        </w:rPr>
      </w:pPr>
      <w:r w:rsidRPr="00224553">
        <w:rPr>
          <w:b/>
          <w:szCs w:val="20"/>
          <w:highlight w:val="lightGray"/>
        </w:rPr>
        <w:t>Program of study approved by the National Board</w:t>
      </w:r>
      <w:r w:rsidRPr="00224553">
        <w:rPr>
          <w:szCs w:val="20"/>
          <w:highlight w:val="lightGray"/>
        </w:rPr>
        <w:t xml:space="preserve"> </w:t>
      </w:r>
      <w:r w:rsidRPr="00224553">
        <w:rPr>
          <w:highlight w:val="lightGray"/>
        </w:rPr>
        <w:t xml:space="preserve">for the purpose of this standard </w:t>
      </w:r>
      <w:proofErr w:type="gramStart"/>
      <w:r w:rsidRPr="00224553">
        <w:rPr>
          <w:highlight w:val="lightGray"/>
        </w:rPr>
        <w:t>include</w:t>
      </w:r>
      <w:proofErr w:type="gramEnd"/>
      <w:r w:rsidRPr="00224553">
        <w:rPr>
          <w:highlight w:val="lightGray"/>
        </w:rPr>
        <w:t>:</w:t>
      </w:r>
    </w:p>
    <w:p w:rsidR="00031B4E" w:rsidRPr="00224553" w:rsidRDefault="00031B4E" w:rsidP="00031B4E">
      <w:pPr>
        <w:pStyle w:val="AHPRAbody"/>
        <w:numPr>
          <w:ilvl w:val="0"/>
          <w:numId w:val="4"/>
        </w:numPr>
        <w:spacing w:before="240"/>
        <w:rPr>
          <w:b/>
          <w:bCs/>
          <w:highlight w:val="lightGray"/>
        </w:rPr>
      </w:pPr>
      <w:r w:rsidRPr="00224553">
        <w:rPr>
          <w:b/>
          <w:bCs/>
          <w:highlight w:val="lightGray"/>
        </w:rPr>
        <w:t xml:space="preserve">Approved program of study </w:t>
      </w:r>
      <w:r w:rsidRPr="00224553">
        <w:rPr>
          <w:highlight w:val="lightGray"/>
        </w:rPr>
        <w:t>are programs accredited by the accreditation authority for the profession and approved by the National Board under the National Law. The approved programs are those which, upon successful completion lead to registration or endorsement as a dental practitioner in the division or specialty in which study was completed</w:t>
      </w:r>
    </w:p>
    <w:p w:rsidR="00031B4E" w:rsidRPr="00224553" w:rsidRDefault="00031B4E" w:rsidP="00031B4E">
      <w:pPr>
        <w:pStyle w:val="AHPRAbody"/>
        <w:numPr>
          <w:ilvl w:val="0"/>
          <w:numId w:val="5"/>
        </w:numPr>
        <w:spacing w:before="240"/>
        <w:rPr>
          <w:b/>
          <w:bCs/>
          <w:highlight w:val="lightGray"/>
        </w:rPr>
      </w:pPr>
      <w:r w:rsidRPr="00224553">
        <w:rPr>
          <w:b/>
          <w:bCs/>
          <w:highlight w:val="lightGray"/>
        </w:rPr>
        <w:t xml:space="preserve">Other assessment, examination or qualification </w:t>
      </w:r>
      <w:r w:rsidRPr="00224553">
        <w:rPr>
          <w:highlight w:val="lightGray"/>
        </w:rPr>
        <w:t>that qualifies a practitioner for general registration (section 53 of the National Law), specialist registration (section 57) limited registration with the Board (section 65) or endorsement (section 99), or</w:t>
      </w:r>
    </w:p>
    <w:p w:rsidR="00031B4E" w:rsidRDefault="00031B4E" w:rsidP="00031B4E">
      <w:pPr>
        <w:pStyle w:val="AHPRAbody"/>
        <w:numPr>
          <w:ilvl w:val="0"/>
          <w:numId w:val="4"/>
        </w:numPr>
        <w:spacing w:before="240"/>
      </w:pPr>
      <w:r w:rsidRPr="00224553">
        <w:rPr>
          <w:b/>
          <w:highlight w:val="lightGray"/>
        </w:rPr>
        <w:t>Programs to extend scope (formerly known as add-on programs</w:t>
      </w:r>
      <w:r w:rsidRPr="00224553">
        <w:rPr>
          <w:highlight w:val="lightGray"/>
        </w:rPr>
        <w:t>) are programs which can extend a dental practitioner’s scope of practice by undertaking educational programs that the National Board has reviewed and approved. The programs to extend scope cover a range of skills which allow dental practitioners to extend their education, training and competence in certain areas and within the division in which they are registered.</w:t>
      </w:r>
      <w:r>
        <w:t>  </w:t>
      </w:r>
    </w:p>
    <w:p w:rsidR="00031B4E" w:rsidRPr="00EC64CC" w:rsidRDefault="00031B4E" w:rsidP="00031B4E">
      <w:pPr>
        <w:autoSpaceDE w:val="0"/>
        <w:autoSpaceDN w:val="0"/>
        <w:adjustRightInd w:val="0"/>
        <w:spacing w:after="0" w:line="240" w:lineRule="auto"/>
        <w:rPr>
          <w:rFonts w:ascii="Arial" w:hAnsi="Arial" w:cs="Arial"/>
          <w:sz w:val="20"/>
          <w:szCs w:val="20"/>
        </w:rPr>
      </w:pPr>
      <w:r w:rsidRPr="00224553">
        <w:rPr>
          <w:rFonts w:ascii="Arial" w:hAnsi="Arial" w:cs="Arial"/>
          <w:b/>
          <w:sz w:val="20"/>
          <w:szCs w:val="20"/>
          <w:highlight w:val="lightGray"/>
        </w:rPr>
        <w:t>Structured professional relationship</w:t>
      </w:r>
      <w:r w:rsidRPr="00224553">
        <w:rPr>
          <w:rFonts w:ascii="Arial" w:hAnsi="Arial"/>
          <w:sz w:val="20"/>
          <w:szCs w:val="20"/>
          <w:highlight w:val="lightGray"/>
        </w:rPr>
        <w:t xml:space="preserve"> means the framework for referral and management to the dentist when the care required falls outside of the scope of practice of the dental hygienist, dental therapist, oral health therapist and/or dental </w:t>
      </w:r>
      <w:proofErr w:type="spellStart"/>
      <w:r w:rsidRPr="00224553">
        <w:rPr>
          <w:rFonts w:ascii="Arial" w:hAnsi="Arial"/>
          <w:sz w:val="20"/>
          <w:szCs w:val="20"/>
          <w:highlight w:val="lightGray"/>
        </w:rPr>
        <w:t>prosthetist</w:t>
      </w:r>
      <w:proofErr w:type="spellEnd"/>
      <w:r w:rsidRPr="00224553">
        <w:rPr>
          <w:rFonts w:ascii="Arial" w:hAnsi="Arial"/>
          <w:sz w:val="20"/>
          <w:szCs w:val="20"/>
          <w:highlight w:val="lightGray"/>
        </w:rPr>
        <w:t xml:space="preserve"> and the referral of patients from a dentist to a dental hygienist, dental therapist, oral health therapist and/or dental </w:t>
      </w:r>
      <w:proofErr w:type="spellStart"/>
      <w:r w:rsidRPr="00224553">
        <w:rPr>
          <w:rFonts w:ascii="Arial" w:hAnsi="Arial"/>
          <w:sz w:val="20"/>
          <w:szCs w:val="20"/>
          <w:highlight w:val="lightGray"/>
        </w:rPr>
        <w:t>prosthetist</w:t>
      </w:r>
      <w:proofErr w:type="spellEnd"/>
      <w:r>
        <w:rPr>
          <w:rFonts w:ascii="Arial" w:hAnsi="Arial"/>
          <w:sz w:val="20"/>
          <w:szCs w:val="20"/>
        </w:rPr>
        <w:t xml:space="preserve">. </w:t>
      </w:r>
    </w:p>
    <w:p w:rsidR="00031B4E" w:rsidRPr="00EC64CC" w:rsidRDefault="00031B4E" w:rsidP="00031B4E">
      <w:pPr>
        <w:autoSpaceDE w:val="0"/>
        <w:autoSpaceDN w:val="0"/>
        <w:adjustRightInd w:val="0"/>
        <w:spacing w:after="0" w:line="240" w:lineRule="auto"/>
        <w:rPr>
          <w:rFonts w:ascii="Arial" w:hAnsi="Arial" w:cs="Arial"/>
          <w:sz w:val="20"/>
          <w:szCs w:val="20"/>
        </w:rPr>
      </w:pPr>
    </w:p>
    <w:p w:rsidR="00031B4E" w:rsidRDefault="00031B4E" w:rsidP="00031B4E">
      <w:pPr>
        <w:pStyle w:val="AHPRASubhead"/>
      </w:pPr>
      <w:r w:rsidRPr="00D64671">
        <w:t>References</w:t>
      </w:r>
    </w:p>
    <w:p w:rsidR="00031B4E" w:rsidRDefault="00031B4E" w:rsidP="00031B4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Dental Board of Australia, </w:t>
      </w:r>
      <w:r w:rsidRPr="00062345">
        <w:rPr>
          <w:rFonts w:ascii="Arial" w:hAnsi="Arial" w:cs="Arial"/>
          <w:i/>
          <w:sz w:val="20"/>
          <w:szCs w:val="20"/>
        </w:rPr>
        <w:t>Specialist Registration Standard</w:t>
      </w:r>
    </w:p>
    <w:p w:rsidR="00031B4E" w:rsidRPr="00D64671" w:rsidRDefault="00031B4E" w:rsidP="00031B4E">
      <w:pPr>
        <w:autoSpaceDE w:val="0"/>
        <w:autoSpaceDN w:val="0"/>
        <w:adjustRightInd w:val="0"/>
        <w:spacing w:after="0" w:line="240" w:lineRule="auto"/>
        <w:rPr>
          <w:rFonts w:ascii="Arial" w:hAnsi="Arial" w:cs="Arial"/>
          <w:sz w:val="20"/>
          <w:szCs w:val="20"/>
        </w:rPr>
      </w:pPr>
      <w:r>
        <w:rPr>
          <w:rFonts w:ascii="Arial" w:hAnsi="Arial" w:cs="Arial"/>
          <w:sz w:val="20"/>
          <w:szCs w:val="20"/>
        </w:rPr>
        <w:t>Dental</w:t>
      </w:r>
      <w:r w:rsidRPr="009D3653">
        <w:rPr>
          <w:rFonts w:ascii="Arial" w:hAnsi="Arial" w:cs="Arial"/>
          <w:sz w:val="20"/>
          <w:szCs w:val="20"/>
        </w:rPr>
        <w:t xml:space="preserve"> Board of Australia, </w:t>
      </w:r>
      <w:r w:rsidRPr="009D3653">
        <w:rPr>
          <w:rFonts w:ascii="Arial" w:hAnsi="Arial" w:cs="Arial"/>
          <w:i/>
          <w:sz w:val="20"/>
          <w:szCs w:val="20"/>
        </w:rPr>
        <w:t>Guidelines</w:t>
      </w:r>
      <w:r w:rsidRPr="009D3653">
        <w:rPr>
          <w:rFonts w:ascii="Arial" w:hAnsi="Arial" w:cs="Arial"/>
          <w:sz w:val="20"/>
          <w:szCs w:val="20"/>
        </w:rPr>
        <w:t xml:space="preserve"> </w:t>
      </w:r>
      <w:r w:rsidRPr="009D3653">
        <w:rPr>
          <w:rFonts w:ascii="Arial" w:hAnsi="Arial" w:cs="Arial"/>
          <w:i/>
          <w:iCs/>
          <w:sz w:val="20"/>
          <w:szCs w:val="20"/>
        </w:rPr>
        <w:t xml:space="preserve">— Scope of </w:t>
      </w:r>
      <w:r>
        <w:rPr>
          <w:rFonts w:ascii="Arial" w:hAnsi="Arial" w:cs="Arial"/>
          <w:i/>
          <w:iCs/>
          <w:sz w:val="20"/>
          <w:szCs w:val="20"/>
        </w:rPr>
        <w:t>p</w:t>
      </w:r>
      <w:r w:rsidRPr="009D3653">
        <w:rPr>
          <w:rFonts w:ascii="Arial" w:hAnsi="Arial" w:cs="Arial"/>
          <w:i/>
          <w:iCs/>
          <w:sz w:val="20"/>
          <w:szCs w:val="20"/>
        </w:rPr>
        <w:t xml:space="preserve">ractice </w:t>
      </w:r>
      <w:r>
        <w:rPr>
          <w:rFonts w:ascii="Arial" w:hAnsi="Arial" w:cs="Arial"/>
          <w:i/>
          <w:iCs/>
          <w:sz w:val="20"/>
          <w:szCs w:val="20"/>
        </w:rPr>
        <w:t>r</w:t>
      </w:r>
      <w:r w:rsidRPr="009D3653">
        <w:rPr>
          <w:rFonts w:ascii="Arial" w:hAnsi="Arial" w:cs="Arial"/>
          <w:i/>
          <w:iCs/>
          <w:sz w:val="20"/>
          <w:szCs w:val="20"/>
        </w:rPr>
        <w:t xml:space="preserve">egistration </w:t>
      </w:r>
      <w:r>
        <w:rPr>
          <w:rFonts w:ascii="Arial" w:hAnsi="Arial" w:cs="Arial"/>
          <w:i/>
          <w:iCs/>
          <w:sz w:val="20"/>
          <w:szCs w:val="20"/>
        </w:rPr>
        <w:t>s</w:t>
      </w:r>
      <w:r w:rsidRPr="009D3653">
        <w:rPr>
          <w:rFonts w:ascii="Arial" w:hAnsi="Arial" w:cs="Arial"/>
          <w:i/>
          <w:iCs/>
          <w:sz w:val="20"/>
          <w:szCs w:val="20"/>
        </w:rPr>
        <w:t xml:space="preserve">tandard </w:t>
      </w:r>
    </w:p>
    <w:p w:rsidR="00031B4E" w:rsidRDefault="00031B4E" w:rsidP="00031B4E">
      <w:pPr>
        <w:autoSpaceDE w:val="0"/>
        <w:autoSpaceDN w:val="0"/>
        <w:adjustRightInd w:val="0"/>
        <w:spacing w:after="0" w:line="240" w:lineRule="auto"/>
        <w:rPr>
          <w:rFonts w:ascii="Arial" w:hAnsi="Arial" w:cs="Arial"/>
          <w:sz w:val="20"/>
          <w:szCs w:val="20"/>
        </w:rPr>
      </w:pPr>
    </w:p>
    <w:p w:rsidR="00031B4E" w:rsidRDefault="00031B4E" w:rsidP="00031B4E">
      <w:pPr>
        <w:pStyle w:val="AHPRASubhead"/>
      </w:pPr>
      <w:r w:rsidRPr="00D64671">
        <w:t>Review</w:t>
      </w:r>
    </w:p>
    <w:p w:rsidR="00031B4E" w:rsidRDefault="00031B4E" w:rsidP="00031B4E">
      <w:pPr>
        <w:rPr>
          <w:rFonts w:ascii="Arial" w:hAnsi="Arial" w:cs="Arial"/>
          <w:sz w:val="20"/>
          <w:szCs w:val="20"/>
        </w:rPr>
      </w:pPr>
      <w:r w:rsidRPr="009D3653">
        <w:rPr>
          <w:rFonts w:ascii="Arial" w:hAnsi="Arial" w:cs="Arial"/>
          <w:sz w:val="20"/>
          <w:szCs w:val="20"/>
        </w:rPr>
        <w:t xml:space="preserve">This </w:t>
      </w:r>
      <w:r>
        <w:rPr>
          <w:rFonts w:ascii="Arial" w:hAnsi="Arial" w:cs="Arial"/>
          <w:sz w:val="20"/>
          <w:szCs w:val="20"/>
        </w:rPr>
        <w:t>registration standard will be revised at least every three years.</w:t>
      </w:r>
    </w:p>
    <w:p w:rsidR="00031B4E" w:rsidRDefault="00031B4E" w:rsidP="00031B4E">
      <w:pPr>
        <w:rPr>
          <w:rFonts w:ascii="Arial" w:hAnsi="Arial" w:cs="Arial"/>
          <w:sz w:val="20"/>
          <w:szCs w:val="20"/>
        </w:rPr>
      </w:pPr>
      <w:r>
        <w:rPr>
          <w:rFonts w:ascii="Arial" w:hAnsi="Arial" w:cs="Arial"/>
          <w:sz w:val="20"/>
          <w:szCs w:val="20"/>
        </w:rPr>
        <w:t>Last reviewed: April 2014</w:t>
      </w:r>
    </w:p>
    <w:p w:rsidR="00AB580F" w:rsidRPr="00031B4E" w:rsidRDefault="00031B4E">
      <w:pPr>
        <w:rPr>
          <w:rFonts w:ascii="Arial" w:hAnsi="Arial" w:cs="Arial"/>
        </w:rPr>
      </w:pPr>
      <w:r>
        <w:rPr>
          <w:rFonts w:ascii="Arial" w:hAnsi="Arial" w:cs="Arial"/>
          <w:sz w:val="20"/>
          <w:szCs w:val="20"/>
        </w:rPr>
        <w:t xml:space="preserve">This registration standard replaces the previously published registration standard from 30 June 2014.  </w:t>
      </w:r>
    </w:p>
    <w:sectPr w:rsidR="00AB580F" w:rsidRPr="00031B4E" w:rsidSect="00D73695">
      <w:headerReference w:type="even" r:id="rId8"/>
      <w:headerReference w:type="default" r:id="rId9"/>
      <w:headerReference w:type="first" r:id="rId10"/>
      <w:pgSz w:w="11906" w:h="16838"/>
      <w:pgMar w:top="1440" w:right="1134" w:bottom="14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B4E" w:rsidRDefault="00031B4E" w:rsidP="00031B4E">
      <w:pPr>
        <w:spacing w:after="0" w:line="240" w:lineRule="auto"/>
      </w:pPr>
      <w:r>
        <w:separator/>
      </w:r>
    </w:p>
  </w:endnote>
  <w:endnote w:type="continuationSeparator" w:id="0">
    <w:p w:rsidR="00031B4E" w:rsidRDefault="00031B4E" w:rsidP="00031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B4E" w:rsidRDefault="00031B4E" w:rsidP="00031B4E">
      <w:pPr>
        <w:spacing w:after="0" w:line="240" w:lineRule="auto"/>
      </w:pPr>
      <w:r>
        <w:separator/>
      </w:r>
    </w:p>
  </w:footnote>
  <w:footnote w:type="continuationSeparator" w:id="0">
    <w:p w:rsidR="00031B4E" w:rsidRDefault="00031B4E" w:rsidP="00031B4E">
      <w:pPr>
        <w:spacing w:after="0" w:line="240" w:lineRule="auto"/>
      </w:pPr>
      <w:r>
        <w:continuationSeparator/>
      </w:r>
    </w:p>
  </w:footnote>
  <w:footnote w:id="1">
    <w:p w:rsidR="00031B4E" w:rsidRPr="002A0FE5" w:rsidRDefault="00031B4E" w:rsidP="00031B4E">
      <w:pPr>
        <w:pStyle w:val="FootnoteText"/>
        <w:rPr>
          <w:rFonts w:cs="Arial"/>
        </w:rPr>
      </w:pPr>
      <w:r w:rsidRPr="002A0FE5">
        <w:rPr>
          <w:rStyle w:val="FootnoteReference"/>
          <w:rFonts w:cs="Arial"/>
        </w:rPr>
        <w:footnoteRef/>
      </w:r>
      <w:r w:rsidRPr="002A0FE5">
        <w:rPr>
          <w:rFonts w:cs="Arial"/>
        </w:rPr>
        <w:t xml:space="preserve"> The term dentist refers to dentists, dental specialists and / or a group of dentists</w:t>
      </w:r>
    </w:p>
  </w:footnote>
  <w:footnote w:id="2">
    <w:p w:rsidR="00031B4E" w:rsidRPr="00F3264A" w:rsidRDefault="00031B4E" w:rsidP="00031B4E">
      <w:pPr>
        <w:pStyle w:val="FootnoteText"/>
        <w:rPr>
          <w:rFonts w:cs="Arial"/>
          <w:lang w:val="en-US"/>
        </w:rPr>
      </w:pPr>
      <w:r w:rsidRPr="00F3264A">
        <w:rPr>
          <w:rStyle w:val="FootnoteReference"/>
          <w:rFonts w:cs="Arial"/>
        </w:rPr>
        <w:footnoteRef/>
      </w:r>
      <w:r w:rsidRPr="00F3264A">
        <w:rPr>
          <w:rFonts w:cs="Arial"/>
        </w:rPr>
        <w:t xml:space="preserve"> </w:t>
      </w:r>
      <w:r w:rsidRPr="00F3264A">
        <w:rPr>
          <w:rFonts w:cs="Arial"/>
          <w:lang w:val="en-US"/>
        </w:rPr>
        <w:t>Refer to the Definitions section of this standard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D1" w:rsidRDefault="0084547C">
    <w:pPr>
      <w:pStyle w:val="Header"/>
    </w:pPr>
    <w:r w:rsidRPr="0084547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38451" o:spid="_x0000_s6147" type="#_x0000_t136" style="position:absolute;margin-left:0;margin-top:0;width:509.55pt;height:169.85pt;rotation:315;z-index:-251651072;mso-position-horizontal:center;mso-position-horizontal-relative:margin;mso-position-vertical:center;mso-position-vertical-relative:margin" o:allowincell="f" fillcolor="#7f7f7f [1612]" stroked="f">
          <v:fill opacity=".5"/>
          <v:textpath style="font-family:&quot;Calibri&quot;;font-size:1pt" string="DO NOT COP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D1" w:rsidRDefault="0084547C">
    <w:pPr>
      <w:pStyle w:val="Header"/>
    </w:pPr>
    <w:r w:rsidRPr="0084547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38452" o:spid="_x0000_s6148" type="#_x0000_t136" style="position:absolute;margin-left:0;margin-top:0;width:509.55pt;height:169.85pt;rotation:315;z-index:-251649024;mso-position-horizontal:center;mso-position-horizontal-relative:margin;mso-position-vertical:center;mso-position-vertical-relative:margin" o:allowincell="f" fillcolor="#7f7f7f [1612]" stroked="f">
          <v:fill opacity=".5"/>
          <v:textpath style="font-family:&quot;Calibri&quot;;font-size:1pt" string="DO NOT COP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2FD" w:rsidRDefault="0084547C" w:rsidP="00D73695">
    <w:pPr>
      <w:pStyle w:val="Header"/>
      <w:jc w:val="right"/>
    </w:pPr>
    <w:r w:rsidRPr="0084547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38450" o:spid="_x0000_s6146" type="#_x0000_t136" style="position:absolute;left:0;text-align:left;margin-left:0;margin-top:0;width:509.55pt;height:169.85pt;rotation:315;z-index:-251653120;mso-position-horizontal:center;mso-position-horizontal-relative:margin;mso-position-vertical:center;mso-position-vertical-relative:margin" o:allowincell="f" fillcolor="#7f7f7f [1612]" stroked="f">
          <v:fill opacity=".5"/>
          <v:textpath style="font-family:&quot;Calibri&quot;;font-size:1pt" string="DO NOT COPY"/>
          <w10:wrap anchorx="margin" anchory="margin"/>
        </v:shape>
      </w:pict>
    </w:r>
    <w:sdt>
      <w:sdtPr>
        <w:id w:val="18672837"/>
        <w:docPartObj>
          <w:docPartGallery w:val="Watermarks"/>
          <w:docPartUnique/>
        </w:docPartObj>
      </w:sdtPr>
      <w:sdtContent>
        <w:r>
          <w:rPr>
            <w:noProof/>
            <w:lang w:val="en-US" w:eastAsia="zh-TW"/>
          </w:rPr>
          <w:pict>
            <v:shape id="PowerPlusWaterMarkObject357732486" o:spid="_x0000_s6145" type="#_x0000_t136" style="position:absolute;left:0;text-align:left;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r w:rsidR="00C50D18" w:rsidRPr="008F039E">
      <w:rPr>
        <w:noProof/>
        <w:highlight w:val="yellow"/>
        <w:lang w:val="en-US"/>
      </w:rPr>
      <w:drawing>
        <wp:anchor distT="0" distB="0" distL="114300" distR="114300" simplePos="0" relativeHeight="251659264" behindDoc="0" locked="0" layoutInCell="1" allowOverlap="1">
          <wp:simplePos x="0" y="0"/>
          <wp:positionH relativeFrom="page">
            <wp:posOffset>-304800</wp:posOffset>
          </wp:positionH>
          <wp:positionV relativeFrom="page">
            <wp:posOffset>38100</wp:posOffset>
          </wp:positionV>
          <wp:extent cx="7553325" cy="1695450"/>
          <wp:effectExtent l="0" t="0" r="0" b="0"/>
          <wp:wrapTight wrapText="bothSides">
            <wp:wrapPolygon edited="0">
              <wp:start x="19721" y="3398"/>
              <wp:lineTo x="18250" y="4126"/>
              <wp:lineTo x="17160" y="5825"/>
              <wp:lineTo x="16888" y="14319"/>
              <wp:lineTo x="17378" y="15047"/>
              <wp:lineTo x="18304" y="15775"/>
              <wp:lineTo x="17814" y="17231"/>
              <wp:lineTo x="17814" y="20872"/>
              <wp:lineTo x="18032" y="21357"/>
              <wp:lineTo x="18849" y="21357"/>
              <wp:lineTo x="19067" y="21357"/>
              <wp:lineTo x="19448" y="21357"/>
              <wp:lineTo x="19612" y="20387"/>
              <wp:lineTo x="19503" y="18930"/>
              <wp:lineTo x="19830" y="18930"/>
              <wp:lineTo x="20647" y="16018"/>
              <wp:lineTo x="20647" y="15047"/>
              <wp:lineTo x="20865" y="11649"/>
              <wp:lineTo x="20919" y="10921"/>
              <wp:lineTo x="20756" y="8009"/>
              <wp:lineTo x="20701" y="7281"/>
              <wp:lineTo x="20265" y="4611"/>
              <wp:lineTo x="20047" y="3398"/>
              <wp:lineTo x="19721" y="3398"/>
            </wp:wrapPolygon>
          </wp:wrapTight>
          <wp:docPr id="3" name="P 1" descr="Dental Boar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
                  <a:srcRect/>
                  <a:stretch>
                    <a:fillRect/>
                  </a:stretch>
                </pic:blipFill>
                <pic:spPr bwMode="auto">
                  <a:xfrm>
                    <a:off x="0" y="0"/>
                    <a:ext cx="7557135" cy="1694180"/>
                  </a:xfrm>
                  <a:prstGeom prst="rect">
                    <a:avLst/>
                  </a:prstGeom>
                  <a:noFill/>
                </pic:spPr>
              </pic:pic>
            </a:graphicData>
          </a:graphic>
        </wp:anchor>
      </w:drawing>
    </w:r>
  </w:p>
  <w:p w:rsidR="007312FD" w:rsidRDefault="00AD6E1D" w:rsidP="00D7369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9AD"/>
    <w:multiLevelType w:val="hybridMultilevel"/>
    <w:tmpl w:val="54189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EC2252"/>
    <w:multiLevelType w:val="hybridMultilevel"/>
    <w:tmpl w:val="B254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B438E4"/>
    <w:multiLevelType w:val="hybridMultilevel"/>
    <w:tmpl w:val="39FCFFF8"/>
    <w:lvl w:ilvl="0" w:tplc="6BECD7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FC2203"/>
    <w:multiLevelType w:val="hybridMultilevel"/>
    <w:tmpl w:val="36CEE082"/>
    <w:lvl w:ilvl="0" w:tplc="04090017">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3"/>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rsids>
    <w:rsidRoot w:val="00031B4E"/>
    <w:rsid w:val="00031B4E"/>
    <w:rsid w:val="000507EF"/>
    <w:rsid w:val="00215B16"/>
    <w:rsid w:val="00236603"/>
    <w:rsid w:val="002A7A0D"/>
    <w:rsid w:val="002F6123"/>
    <w:rsid w:val="00792EF7"/>
    <w:rsid w:val="007B5B69"/>
    <w:rsid w:val="0084547C"/>
    <w:rsid w:val="008C28A3"/>
    <w:rsid w:val="008E227A"/>
    <w:rsid w:val="00AD6E1D"/>
    <w:rsid w:val="00C50D18"/>
    <w:rsid w:val="00F43F1A"/>
    <w:rsid w:val="00F932D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4E"/>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1B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1B4E"/>
  </w:style>
  <w:style w:type="paragraph" w:customStyle="1" w:styleId="AHPRAbody">
    <w:name w:val="AHPRA body"/>
    <w:basedOn w:val="Normal"/>
    <w:link w:val="AHPRAbodyChar"/>
    <w:uiPriority w:val="99"/>
    <w:qFormat/>
    <w:rsid w:val="00031B4E"/>
    <w:pPr>
      <w:spacing w:line="240" w:lineRule="auto"/>
    </w:pPr>
    <w:rPr>
      <w:rFonts w:ascii="Arial" w:eastAsia="Cambria" w:hAnsi="Arial" w:cs="Arial"/>
      <w:sz w:val="20"/>
      <w:szCs w:val="24"/>
    </w:rPr>
  </w:style>
  <w:style w:type="character" w:customStyle="1" w:styleId="AHPRAbodyChar">
    <w:name w:val="AHPRA body Char"/>
    <w:basedOn w:val="DefaultParagraphFont"/>
    <w:link w:val="AHPRAbody"/>
    <w:uiPriority w:val="99"/>
    <w:rsid w:val="00031B4E"/>
    <w:rPr>
      <w:rFonts w:ascii="Arial" w:eastAsia="Cambria" w:hAnsi="Arial" w:cs="Arial"/>
      <w:sz w:val="20"/>
      <w:szCs w:val="24"/>
    </w:rPr>
  </w:style>
  <w:style w:type="paragraph" w:styleId="ListParagraph">
    <w:name w:val="List Paragraph"/>
    <w:basedOn w:val="Normal"/>
    <w:uiPriority w:val="34"/>
    <w:qFormat/>
    <w:rsid w:val="00031B4E"/>
    <w:pPr>
      <w:ind w:left="720"/>
      <w:contextualSpacing/>
    </w:pPr>
    <w:rPr>
      <w:rFonts w:ascii="Arial" w:hAnsi="Arial" w:cs="Arial"/>
      <w:color w:val="000000"/>
      <w:sz w:val="20"/>
      <w:szCs w:val="24"/>
    </w:rPr>
  </w:style>
  <w:style w:type="paragraph" w:customStyle="1" w:styleId="AHPRAHeadline">
    <w:name w:val="AHPRA Headline"/>
    <w:basedOn w:val="Normal"/>
    <w:qFormat/>
    <w:rsid w:val="00031B4E"/>
    <w:pPr>
      <w:spacing w:line="240" w:lineRule="auto"/>
    </w:pPr>
    <w:rPr>
      <w:rFonts w:ascii="Arial" w:eastAsia="Cambria" w:hAnsi="Arial" w:cs="Times New Roman"/>
      <w:color w:val="008EC4"/>
      <w:sz w:val="28"/>
      <w:szCs w:val="24"/>
    </w:rPr>
  </w:style>
  <w:style w:type="paragraph" w:customStyle="1" w:styleId="AHPRATitle">
    <w:name w:val="AHPRA Title"/>
    <w:basedOn w:val="Normal"/>
    <w:next w:val="AHPRAHeadline"/>
    <w:qFormat/>
    <w:rsid w:val="00031B4E"/>
    <w:pPr>
      <w:spacing w:line="240" w:lineRule="auto"/>
      <w:outlineLvl w:val="0"/>
    </w:pPr>
    <w:rPr>
      <w:rFonts w:ascii="Arial" w:eastAsia="Cambria" w:hAnsi="Arial" w:cs="Arial"/>
      <w:color w:val="808080"/>
      <w:sz w:val="44"/>
      <w:szCs w:val="52"/>
    </w:rPr>
  </w:style>
  <w:style w:type="paragraph" w:styleId="FootnoteText">
    <w:name w:val="footnote text"/>
    <w:basedOn w:val="Normal"/>
    <w:link w:val="FootnoteTextChar"/>
    <w:uiPriority w:val="99"/>
    <w:unhideWhenUsed/>
    <w:rsid w:val="00031B4E"/>
    <w:pPr>
      <w:spacing w:line="240" w:lineRule="auto"/>
    </w:pPr>
    <w:rPr>
      <w:rFonts w:ascii="Arial" w:eastAsia="Cambria" w:hAnsi="Arial" w:cs="Times New Roman"/>
      <w:sz w:val="20"/>
      <w:szCs w:val="20"/>
    </w:rPr>
  </w:style>
  <w:style w:type="character" w:customStyle="1" w:styleId="FootnoteTextChar">
    <w:name w:val="Footnote Text Char"/>
    <w:basedOn w:val="DefaultParagraphFont"/>
    <w:link w:val="FootnoteText"/>
    <w:uiPriority w:val="99"/>
    <w:rsid w:val="00031B4E"/>
    <w:rPr>
      <w:rFonts w:ascii="Arial" w:eastAsia="Cambria" w:hAnsi="Arial" w:cs="Times New Roman"/>
      <w:sz w:val="20"/>
      <w:szCs w:val="20"/>
    </w:rPr>
  </w:style>
  <w:style w:type="character" w:styleId="FootnoteReference">
    <w:name w:val="footnote reference"/>
    <w:basedOn w:val="DefaultParagraphFont"/>
    <w:uiPriority w:val="99"/>
    <w:unhideWhenUsed/>
    <w:rsid w:val="00031B4E"/>
    <w:rPr>
      <w:rFonts w:ascii="Arial" w:hAnsi="Arial"/>
      <w:color w:val="auto"/>
      <w:sz w:val="18"/>
      <w:vertAlign w:val="superscript"/>
    </w:rPr>
  </w:style>
  <w:style w:type="paragraph" w:customStyle="1" w:styleId="AHPRASubhead">
    <w:name w:val="AHPRA Subhead"/>
    <w:basedOn w:val="Normal"/>
    <w:qFormat/>
    <w:rsid w:val="00031B4E"/>
    <w:pPr>
      <w:spacing w:line="240" w:lineRule="auto"/>
    </w:pPr>
    <w:rPr>
      <w:rFonts w:ascii="Arial" w:eastAsia="Cambria" w:hAnsi="Arial" w:cs="Times New Roman"/>
      <w:b/>
      <w:color w:val="008EC4"/>
      <w:sz w:val="20"/>
      <w:szCs w:val="24"/>
      <w:lang w:val="en-US"/>
    </w:rPr>
  </w:style>
  <w:style w:type="paragraph" w:customStyle="1" w:styleId="AHPRADocumentsubheading">
    <w:name w:val="AHPRA Document subheading"/>
    <w:basedOn w:val="Normal"/>
    <w:next w:val="Normal"/>
    <w:qFormat/>
    <w:rsid w:val="00031B4E"/>
    <w:pPr>
      <w:spacing w:line="240" w:lineRule="auto"/>
      <w:outlineLvl w:val="0"/>
    </w:pPr>
    <w:rPr>
      <w:rFonts w:ascii="Arial" w:eastAsia="Cambria" w:hAnsi="Arial" w:cs="Arial"/>
      <w:color w:val="5F6062"/>
      <w:sz w:val="28"/>
      <w:szCs w:val="52"/>
    </w:rPr>
  </w:style>
  <w:style w:type="paragraph" w:customStyle="1" w:styleId="AHPRADocumenttitle">
    <w:name w:val="AHPRA Document title"/>
    <w:basedOn w:val="Normal"/>
    <w:rsid w:val="00031B4E"/>
    <w:pPr>
      <w:spacing w:before="200" w:line="240" w:lineRule="auto"/>
      <w:outlineLvl w:val="0"/>
    </w:pPr>
    <w:rPr>
      <w:rFonts w:ascii="Arial" w:eastAsia="Cambria" w:hAnsi="Arial" w:cs="Arial"/>
      <w:color w:val="00BCCE"/>
      <w:sz w:val="32"/>
      <w:szCs w:val="52"/>
      <w:lang w:val="en-US"/>
    </w:rPr>
  </w:style>
  <w:style w:type="paragraph" w:styleId="Footer">
    <w:name w:val="footer"/>
    <w:basedOn w:val="Normal"/>
    <w:link w:val="FooterChar"/>
    <w:uiPriority w:val="99"/>
    <w:semiHidden/>
    <w:unhideWhenUsed/>
    <w:rsid w:val="00C50D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0D18"/>
  </w:style>
  <w:style w:type="character" w:styleId="CommentReference">
    <w:name w:val="annotation reference"/>
    <w:basedOn w:val="DefaultParagraphFont"/>
    <w:uiPriority w:val="99"/>
    <w:semiHidden/>
    <w:unhideWhenUsed/>
    <w:rsid w:val="00F43F1A"/>
    <w:rPr>
      <w:sz w:val="16"/>
      <w:szCs w:val="16"/>
    </w:rPr>
  </w:style>
  <w:style w:type="paragraph" w:styleId="CommentText">
    <w:name w:val="annotation text"/>
    <w:basedOn w:val="Normal"/>
    <w:link w:val="CommentTextChar"/>
    <w:uiPriority w:val="99"/>
    <w:semiHidden/>
    <w:unhideWhenUsed/>
    <w:rsid w:val="00F43F1A"/>
    <w:pPr>
      <w:spacing w:line="240" w:lineRule="auto"/>
    </w:pPr>
    <w:rPr>
      <w:sz w:val="20"/>
      <w:szCs w:val="20"/>
    </w:rPr>
  </w:style>
  <w:style w:type="character" w:customStyle="1" w:styleId="CommentTextChar">
    <w:name w:val="Comment Text Char"/>
    <w:basedOn w:val="DefaultParagraphFont"/>
    <w:link w:val="CommentText"/>
    <w:uiPriority w:val="99"/>
    <w:semiHidden/>
    <w:rsid w:val="00F43F1A"/>
    <w:rPr>
      <w:sz w:val="20"/>
      <w:szCs w:val="20"/>
    </w:rPr>
  </w:style>
  <w:style w:type="paragraph" w:styleId="CommentSubject">
    <w:name w:val="annotation subject"/>
    <w:basedOn w:val="CommentText"/>
    <w:next w:val="CommentText"/>
    <w:link w:val="CommentSubjectChar"/>
    <w:uiPriority w:val="99"/>
    <w:semiHidden/>
    <w:unhideWhenUsed/>
    <w:rsid w:val="00F43F1A"/>
    <w:rPr>
      <w:b/>
      <w:bCs/>
    </w:rPr>
  </w:style>
  <w:style w:type="character" w:customStyle="1" w:styleId="CommentSubjectChar">
    <w:name w:val="Comment Subject Char"/>
    <w:basedOn w:val="CommentTextChar"/>
    <w:link w:val="CommentSubject"/>
    <w:uiPriority w:val="99"/>
    <w:semiHidden/>
    <w:rsid w:val="00F43F1A"/>
    <w:rPr>
      <w:b/>
      <w:bCs/>
    </w:rPr>
  </w:style>
  <w:style w:type="paragraph" w:styleId="BalloonText">
    <w:name w:val="Balloon Text"/>
    <w:basedOn w:val="Normal"/>
    <w:link w:val="BalloonTextChar"/>
    <w:uiPriority w:val="99"/>
    <w:semiHidden/>
    <w:unhideWhenUsed/>
    <w:rsid w:val="00F43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F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C26DE-4CF1-4C81-8639-C21582F8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4445</Characters>
  <Application>Microsoft Office Word</Application>
  <DocSecurity>0</DocSecurity>
  <Lines>37</Lines>
  <Paragraphs>10</Paragraphs>
  <ScaleCrop>false</ScaleCrop>
  <Company>AHPRA</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Marked up copy to show changes from standard which commenced 1 July 2010 to revised standard effective 30 June 2014</dc:title>
  <dc:subject>Attachment</dc:subject>
  <dc:creator>Dental Board</dc:creator>
  <cp:lastModifiedBy>gmeade</cp:lastModifiedBy>
  <cp:revision>2</cp:revision>
  <dcterms:created xsi:type="dcterms:W3CDTF">2014-05-26T04:44:00Z</dcterms:created>
  <dcterms:modified xsi:type="dcterms:W3CDTF">2014-05-26T04:44:00Z</dcterms:modified>
</cp:coreProperties>
</file>